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Roboto Serif" w:hAnsi="Roboto Serif"/>
          <w:b/>
          <w:caps w:val="0"/>
          <w:color w:val="1A1A1A"/>
          <w:sz w:val="44"/>
        </w:rPr>
        <w:t>Higharc</w:t>
      </w:r>
    </w:p>
    <w:p>
      <w:pPr>
        <w:spacing w:after="40"/>
      </w:pPr>
      <w:r>
        <w:rPr>
          <w:rFonts w:ascii="Sora" w:hAnsi="Sora"/>
          <w:b w:val="0"/>
          <w:caps w:val="0"/>
          <w:color w:val="828282"/>
          <w:sz w:val="21"/>
        </w:rPr>
        <w:t>higharc.com   ·   Series C   ·   Durham, NC   ·   Insight Partners (New York)(Joshua Fredberg)</w:t>
      </w:r>
    </w:p>
    <w:p>
      <w:pPr>
        <w:spacing w:after="200"/>
      </w:pPr>
      <w:r>
        <w:rPr>
          <w:rFonts w:ascii="Sora" w:hAnsi="Sora"/>
          <w:b w:val="0"/>
          <w:caps w:val="0"/>
          <w:color w:val="828282"/>
          <w:sz w:val="18"/>
        </w:rPr>
        <w:t>Screened 2026-07-06</w:t>
      </w:r>
    </w:p>
    <w:p>
      <w:pPr>
        <w:spacing w:after="120"/>
        <w:pBdr>
          <w:bottom w:val="single" w:sz="6" w:color="1A1A1A" w:space="4"/>
        </w:pBdr>
      </w:pPr>
      <w:r>
        <w:rPr>
          <w:rFonts w:ascii="Roboto Serif" w:hAnsi="Roboto Serif"/>
          <w:b/>
          <w:caps w:val="0"/>
          <w:color w:val="1A1A1A"/>
          <w:sz w:val="28"/>
        </w:rPr>
        <w:t>FIT ASSESSMENT</w:t>
      </w:r>
    </w:p>
    <w:p>
      <w:pPr>
        <w:spacing w:before="120" w:after="240"/>
      </w:pPr>
      <w:r>
        <w:rPr>
          <w:rFonts w:ascii="Roboto Serif" w:hAnsi="Roboto Serif"/>
          <w:b/>
          <w:caps w:val="0"/>
          <w:color w:val="1A1A1A"/>
          <w:sz w:val="32"/>
        </w:rPr>
        <w:t>2.8 / 4.0</w:t>
      </w:r>
      <w:r>
        <w:rPr>
          <w:rFonts w:ascii="Sora" w:hAnsi="Sora"/>
          <w:b w:val="0"/>
          <w:caps w:val="0"/>
          <w:color w:val="828282"/>
          <w:sz w:val="21"/>
        </w:rPr>
        <w:t xml:space="preserve">   —   BORDERLINE — REVIEW</w:t>
      </w:r>
    </w:p>
    <w:tbl>
      <w:tblPr>
        <w:tblW w:type="auto" w:w="0"/>
        <w:tblLayout w:type="fixed"/>
        <w:tblLook w:firstColumn="1" w:firstRow="1" w:lastColumn="0" w:lastRow="0" w:noHBand="0" w:noVBand="1" w:val="04A0"/>
      </w:tblPr>
      <w:tblGrid>
        <w:gridCol w:w="3120"/>
        <w:gridCol w:w="3120"/>
        <w:gridCol w:w="3120"/>
      </w:tblGrid>
      <w:tr>
        <w:tc>
          <w:tcPr>
            <w:tcW w:type="dxa" w:w="2664"/>
            <w:shd w:val="clear" w:color="auto" w:fill="1A1A1A"/>
            <w:tcMar>
              <w:top w:w="40" w:type="dxa"/>
              <w:bottom w:w="40" w:type="dxa"/>
              <w:left w:w="60" w:type="dxa"/>
              <w:right w:w="60" w:type="dxa"/>
            </w:tcMar>
          </w:tcPr>
          <w:p>
            <w:r>
              <w:rPr>
                <w:rFonts w:ascii="Sora" w:hAnsi="Sora"/>
                <w:b/>
                <w:caps/>
                <w:color w:val="FFFFFF"/>
                <w:sz w:val="18"/>
              </w:rPr>
              <w:t>Dimension</w:t>
            </w:r>
          </w:p>
        </w:tc>
        <w:tc>
          <w:tcPr>
            <w:tcW w:type="dxa" w:w="792"/>
            <w:shd w:val="clear" w:color="auto" w:fill="1A1A1A"/>
            <w:tcMar>
              <w:top w:w="40" w:type="dxa"/>
              <w:bottom w:w="40" w:type="dxa"/>
              <w:left w:w="60" w:type="dxa"/>
              <w:right w:w="60" w:type="dxa"/>
            </w:tcMar>
          </w:tcPr>
          <w:p>
            <w:r>
              <w:rPr>
                <w:rFonts w:ascii="Sora" w:hAnsi="Sora"/>
                <w:b/>
                <w:caps/>
                <w:color w:val="FFFFFF"/>
                <w:sz w:val="18"/>
              </w:rPr>
              <w:t>Score</w:t>
            </w:r>
          </w:p>
        </w:tc>
        <w:tc>
          <w:tcPr>
            <w:tcW w:type="dxa" w:w="5904"/>
            <w:shd w:val="clear" w:color="auto" w:fill="1A1A1A"/>
            <w:tcMar>
              <w:top w:w="40" w:type="dxa"/>
              <w:bottom w:w="40" w:type="dxa"/>
              <w:left w:w="60" w:type="dxa"/>
              <w:right w:w="60" w:type="dxa"/>
            </w:tcMar>
          </w:tcPr>
          <w:p>
            <w:r>
              <w:rPr>
                <w:rFonts w:ascii="Sora" w:hAnsi="Sora"/>
                <w:b/>
                <w:caps/>
                <w:color w:val="FFFFFF"/>
                <w:sz w:val="18"/>
              </w:rPr>
              <w:t>Evidence</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Lead / Round Dynamics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Higharc is raising a $95M Series C round led by Insight Partners, a Tier 1 global software investor, with participation from Wellington Management and a strong syndicate including Fifth Wall, Spark Capital, Lux Capital, SE Ventures and others.[4][5][3][2] Insight Partners has been an existing investor since earlier rounds, so this is a top‑tier inside round rather than new‑money Tier 1, aligning with the 2–3 band; given round size, stage (Series C) and quality of syndicate, this fits better at 3 than 2.[5][3]</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AI Score</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4</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Higharc describes itself as a “homebuilding AI company for the full design-to-construction lifecycle,” positioning AI as the core of its product rather than a peripheral feature.[4][5] The Series C is explicitly framed as funding to scale AI for homebuilding, and products like AutoTranslate AI that ingest 2D floor plans to generate 3D spatial models and material takeoffs further support that AI is the central value proposition, consistent with a pure‑play AI score.[3]</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Fundamentals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2</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The Series C announcement states total funding now exceeds $170M, but provides no concrete revenue, growth, NDR, LTV/CAC or burn metrics.[4][5] External coverage emphasizes strong demand and expansion plans, but still lacks quantified fundamentals; given the sizable Series C led by a Tier 1 investor and clear value proposition in a large market, fundamentals are likely above the Score 1 floor yet cannot be substantiated to meet the Score 3 bar, so a conservative mid‑band score is appropriate.[3][8]</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Return Potential</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Higharc targets the large U.S. homebuilding and construction planning market with an AI platform that can automate design, generate precise material takeoffs, and improve project economics, which suggests meaningful upside if widely adopted.[3][5][8] A $95M Series C at this stage likely implies moderate entry valuation and some execution and adoption risk, but with a Tier 1 lead and differentiated AI product, &gt;3x potential with some risk of capital loss is a reasonable fit, while &gt;7x with little risk cannot be justified from available data.[4][3]</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Terms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2</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Public sources on the Series C disclose round size, lead, and participants but provide no information on valuation, liquidation preferences, structure, fees, or carry relevant to an SPV’s economics.[4][5][3] In the absence of explicit terms data, and given this is a standard institutional Series C led by Insight Partners, a cautious assumption near typical 0/10 SPV economics but without enough detail to justify a higher score is appropriate, so this dimension is scored low‑mid rather than guessing favorable terms.[4][5]</w:t>
            </w:r>
          </w:p>
        </w:tc>
      </w:tr>
    </w:tbl>
    <w:p>
      <w:pPr>
        <w:spacing w:after="160"/>
      </w:pPr>
    </w:p>
    <w:p>
      <w:pPr>
        <w:spacing w:after="120"/>
        <w:pBdr>
          <w:bottom w:val="single" w:sz="6" w:color="1A1A1A" w:space="4"/>
        </w:pBdr>
      </w:pPr>
      <w:r>
        <w:rPr>
          <w:rFonts w:ascii="Roboto Serif" w:hAnsi="Roboto Serif"/>
          <w:b/>
          <w:caps w:val="0"/>
          <w:color w:val="1A1A1A"/>
          <w:sz w:val="24"/>
        </w:rPr>
        <w:t>RATIONALE</w:t>
      </w:r>
    </w:p>
    <w:p>
      <w:pPr>
        <w:spacing w:before="120" w:after="120"/>
        <w:jc w:val="both"/>
      </w:pPr>
      <w:r>
        <w:rPr>
          <w:rFonts w:ascii="Sora" w:hAnsi="Sora"/>
          <w:b w:val="0"/>
          <w:caps w:val="0"/>
          <w:color w:val="1A1A1A"/>
          <w:sz w:val="21"/>
        </w:rPr>
        <w:t>Higharc is a Durham, NC–based homebuilding AI company raising a $95M Series C led by Tier 1 investor Insight Partners, with a strong multi‑investor syndicate, clearly passing the stage (Series C) and developed‑market geography gates.[4][5][2] The deal partially aligns with ID8’s core thesis: it is a Tier 1–led Series C, but Insight Partners is an existing investor and thus this is a top‑tier inside round rather than new‑money Tier 1 joining the cap table for the first time, which weakens thesis fit.[5] Overall, Higharc appears to be a pure‑play AI platform with significant market opportunity and strong round dynamics, but lack of disclosed performance metrics and deal terms limits certainty on fundamentals and ultimate return profile.</w:t>
      </w:r>
    </w:p>
    <w:p>
      <w:pPr>
        <w:spacing w:before="80"/>
      </w:pPr>
      <w:r>
        <w:rPr>
          <w:rFonts w:ascii="Sora" w:hAnsi="Sora"/>
          <w:b w:val="0"/>
          <w:caps w:val="0"/>
          <w:color w:val="828282"/>
          <w:sz w:val="18"/>
        </w:rPr>
        <w:t>Confidence: medium</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ra" w:hAnsi="Sora"/>
        <w:b w:val="0"/>
        <w:caps w:val="0"/>
        <w:color w:val="828282"/>
        <w:sz w:val="17"/>
      </w:rPr>
      <w:t xml:space="preserve">Page </w:t>
    </w:r>
    <w:fldChar w:fldCharType="begin"/>
    <w:instrText xml:space="preserve"> PAGE </w:instrText>
    <w:fldChar w:fldCharType="end"/>
    <w:r>
      <w:rPr>
        <w:rFonts w:ascii="Sora" w:hAnsi="Sora"/>
        <w:b w:val="0"/>
        <w:caps w:val="0"/>
        <w:color w:val="828282"/>
        <w:sz w:val="17"/>
      </w:rPr>
      <w:t xml:space="preserve"> of </w:t>
    </w:r>
    <w:fldChar w:fldCharType="begin"/>
    <w:instrText xml:space="preserve"> NUMPAGES </w:instrText>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1440"/>
      <w:gridCol w:w="7920"/>
    </w:tblGrid>
    <w:tr>
      <w:tc>
        <w:tcPr>
          <w:tcW w:type="dxa" w:w="4680"/>
          <w:tcBorders>
            <w:top w:val="nil"/>
            <w:left w:val="nil"/>
            <w:right w:val="nil"/>
            <w:bottom w:val="single" w:sz="4" w:color="1A1A1A"/>
          </w:tcBorders>
        </w:tcPr>
        <w:p>
          <w:r>
            <w:drawing>
              <wp:inline xmlns:a="http://schemas.openxmlformats.org/drawingml/2006/main" xmlns:pic="http://schemas.openxmlformats.org/drawingml/2006/picture">
                <wp:extent cx="594360" cy="58725"/>
                <wp:docPr id="1" name="Picture 1"/>
                <wp:cNvGraphicFramePr>
                  <a:graphicFrameLocks noChangeAspect="1"/>
                </wp:cNvGraphicFramePr>
                <a:graphic>
                  <a:graphicData uri="http://schemas.openxmlformats.org/drawingml/2006/picture">
                    <pic:pic>
                      <pic:nvPicPr>
                        <pic:cNvPr id="0" name="id8_charcoal.png"/>
                        <pic:cNvPicPr/>
                      </pic:nvPicPr>
                      <pic:blipFill>
                        <a:blip r:embed="rId1"/>
                        <a:stretch>
                          <a:fillRect/>
                        </a:stretch>
                      </pic:blipFill>
                      <pic:spPr>
                        <a:xfrm>
                          <a:off x="0" y="0"/>
                          <a:ext cx="594360" cy="58725"/>
                        </a:xfrm>
                        <a:prstGeom prst="rect"/>
                      </pic:spPr>
                    </pic:pic>
                  </a:graphicData>
                </a:graphic>
              </wp:inline>
            </w:drawing>
          </w:r>
        </w:p>
      </w:tc>
      <w:tc>
        <w:tcPr>
          <w:tcW w:type="dxa" w:w="4680"/>
          <w:tcBorders>
            <w:top w:val="nil"/>
            <w:left w:val="nil"/>
            <w:right w:val="nil"/>
            <w:bottom w:val="single" w:sz="4" w:color="1A1A1A"/>
          </w:tcBorders>
        </w:tcPr>
        <w:p>
          <w:pPr>
            <w:spacing w:before="80"/>
            <w:jc w:val="right"/>
          </w:pPr>
          <w:r>
            <w:rPr>
              <w:rFonts w:ascii="Sora" w:hAnsi="Sora"/>
              <w:b w:val="0"/>
              <w:caps/>
              <w:color w:val="828282"/>
              <w:sz w:val="16"/>
            </w:rPr>
            <w:t>DEAL SCREEN  ·  ID8 INVESTMENTS  ·  CONFIDENTIAL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ra" w:hAnsi="Sor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