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Glow (Network Management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glow.io   ·   Series B   ·   Palo Alto, CA   ·   CyberStarts(Gili Raanan), Greenoaks, Redpoint Ventures, Sequoia Capital(Shaun Maguire)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3.1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3.1)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CLEARS GATE · GO / IC REVIEW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3.5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Series B led by Tier 1+ and Tier 1 VCs with verified new-money participation and strong insider follow-on, aligning well with ID8's lead thesis.[6][11][18]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Founder / Team Quality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3.7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Experienced founding team with a prior exit, deep cybersecurity and data domain expertise, rapid hiring, and strong though somewhat controversial public profile.[6][9][15][18]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AI agents are central to Glow's prevention-first endpoint platform, suggesting a genuine structural AI moat rather than a thin feature wrapper.[2][6][8][11][18]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Deal terms are not publicly disclosed; absent adverse signals, we assume standard 0/0/10-style economics with no recurring management fee.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Glow shows promising qualitative traction and a compelling AI endpoint moat, but financial metrics, unit economics, and valuation multiples remain largely undisclosed, limiting fundamentals assessment.[6][9][11][18]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2.8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At a $1.2B Series B valuation, Glow could deliver venture-scale returns as an AI endpoint security leader, though limited data keeps projections tentative.[2][6][9][11][18]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New-money Tier 1 and Tier 1+ leads co-heading a Series B with AI central to Glow's endpoint security moat align well with ID8's thesis. Limited financial disclosure tempers conviction but team, market, and structural positioning look strong.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