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pPr>
      <w:r>
        <w:rPr>
          <w:rFonts w:ascii="Roboto Serif" w:hAnsi="Roboto Serif"/>
          <w:b/>
          <w:caps w:val="0"/>
          <w:color w:val="1A1A1A"/>
          <w:sz w:val="44"/>
        </w:rPr>
        <w:t>SambaNova Systems</w:t>
      </w:r>
    </w:p>
    <w:p>
      <w:pPr>
        <w:spacing w:after="200"/>
      </w:pPr>
      <w:r>
        <w:rPr>
          <w:rFonts w:ascii="Sora" w:hAnsi="Sora"/>
          <w:b w:val="0"/>
          <w:caps w:val="0"/>
          <w:color w:val="828282"/>
          <w:sz w:val="18"/>
        </w:rPr>
        <w:t>Screened 2026-07-09</w:t>
      </w:r>
    </w:p>
    <w:p>
      <w:pPr>
        <w:spacing w:after="120"/>
        <w:pBdr>
          <w:bottom w:val="single" w:sz="6" w:color="1A1A1A" w:space="4"/>
        </w:pBdr>
      </w:pPr>
      <w:r>
        <w:rPr>
          <w:rFonts w:ascii="Roboto Serif" w:hAnsi="Roboto Serif"/>
          <w:b/>
          <w:caps w:val="0"/>
          <w:color w:val="1A1A1A"/>
          <w:sz w:val="28"/>
        </w:rPr>
        <w:t>FIT ASSESSMENT</w:t>
      </w:r>
    </w:p>
    <w:p>
      <w:pPr>
        <w:spacing w:before="120" w:after="240"/>
      </w:pPr>
      <w:r>
        <w:rPr>
          <w:rFonts w:ascii="Roboto Serif" w:hAnsi="Roboto Serif"/>
          <w:b/>
          <w:caps w:val="0"/>
          <w:color w:val="1A1A1A"/>
          <w:sz w:val="32"/>
        </w:rPr>
        <w:t>3.5 / 4.0</w:t>
      </w:r>
      <w:r>
        <w:rPr>
          <w:rFonts w:ascii="Sora" w:hAnsi="Sora"/>
          <w:b w:val="0"/>
          <w:caps w:val="0"/>
          <w:color w:val="828282"/>
          <w:sz w:val="21"/>
        </w:rPr>
        <w:t xml:space="preserve">   (raw 3.3)</w:t>
      </w:r>
      <w:r>
        <w:rPr>
          <w:rFonts w:ascii="Sora" w:hAnsi="Sora"/>
          <w:b w:val="0"/>
          <w:caps w:val="0"/>
          <w:color w:val="828282"/>
          <w:sz w:val="21"/>
        </w:rPr>
        <w:t xml:space="preserve">   —   CLEARS GATE · STRONG GO</w:t>
      </w:r>
    </w:p>
    <w:tbl>
      <w:tblPr>
        <w:tblW w:type="auto" w:w="0"/>
        <w:tblLayout w:type="fixed"/>
        <w:tblLook w:firstColumn="1" w:firstRow="1" w:lastColumn="0" w:lastRow="0" w:noHBand="0" w:noVBand="1" w:val="04A0"/>
      </w:tblPr>
      <w:tblGrid>
        <w:gridCol w:w="3120"/>
        <w:gridCol w:w="3120"/>
        <w:gridCol w:w="3120"/>
      </w:tblGrid>
      <w:tr>
        <w:tc>
          <w:tcPr>
            <w:tcW w:type="dxa" w:w="2664"/>
            <w:shd w:val="clear" w:color="auto" w:fill="1A1A1A"/>
            <w:tcMar>
              <w:top w:w="40" w:type="dxa"/>
              <w:bottom w:w="40" w:type="dxa"/>
              <w:left w:w="60" w:type="dxa"/>
              <w:right w:w="60" w:type="dxa"/>
            </w:tcMar>
          </w:tcPr>
          <w:p>
            <w:r>
              <w:rPr>
                <w:rFonts w:ascii="Sora" w:hAnsi="Sora"/>
                <w:b/>
                <w:caps/>
                <w:color w:val="FFFFFF"/>
                <w:sz w:val="18"/>
              </w:rPr>
              <w:t>Dimension</w:t>
            </w:r>
          </w:p>
        </w:tc>
        <w:tc>
          <w:tcPr>
            <w:tcW w:type="dxa" w:w="792"/>
            <w:shd w:val="clear" w:color="auto" w:fill="1A1A1A"/>
            <w:tcMar>
              <w:top w:w="40" w:type="dxa"/>
              <w:bottom w:w="40" w:type="dxa"/>
              <w:left w:w="60" w:type="dxa"/>
              <w:right w:w="60" w:type="dxa"/>
            </w:tcMar>
          </w:tcPr>
          <w:p>
            <w:r>
              <w:rPr>
                <w:rFonts w:ascii="Sora" w:hAnsi="Sora"/>
                <w:b/>
                <w:caps/>
                <w:color w:val="FFFFFF"/>
                <w:sz w:val="18"/>
              </w:rPr>
              <w:t>Score</w:t>
            </w:r>
          </w:p>
        </w:tc>
        <w:tc>
          <w:tcPr>
            <w:tcW w:type="dxa" w:w="5904"/>
            <w:shd w:val="clear" w:color="auto" w:fill="1A1A1A"/>
            <w:tcMar>
              <w:top w:w="40" w:type="dxa"/>
              <w:bottom w:w="40" w:type="dxa"/>
              <w:left w:w="60" w:type="dxa"/>
              <w:right w:w="60" w:type="dxa"/>
            </w:tcMar>
          </w:tcPr>
          <w:p>
            <w:r>
              <w:rPr>
                <w:rFonts w:ascii="Sora" w:hAnsi="Sora"/>
                <w:b/>
                <w:caps/>
                <w:color w:val="FFFFFF"/>
                <w:sz w:val="18"/>
              </w:rPr>
              <w:t>Evidence</w:t>
            </w:r>
          </w:p>
        </w:tc>
      </w:tr>
      <w:tr>
        <w:tc>
          <w:tcPr>
            <w:tcW w:type="dxa" w:w="2664"/>
            <w:shd w:val="clear" w:color="auto" w:fill="F5F5F5"/>
            <w:tcMar>
              <w:top w:w="40" w:type="dxa"/>
              <w:bottom w:w="40" w:type="dxa"/>
              <w:left w:w="60" w:type="dxa"/>
              <w:right w:w="60" w:type="dxa"/>
            </w:tcMar>
            <w:tcBorders>
              <w:top w:val="nil"/>
              <w:left w:val="nil"/>
              <w:right w:val="nil"/>
              <w:bottom w:val="single" w:sz="4" w:color="E4DFD5"/>
            </w:tcBorders>
          </w:tcPr>
          <w:p>
            <w:r>
              <w:rPr>
                <w:rFonts w:ascii="Sora" w:hAnsi="Sora"/>
                <w:b w:val="0"/>
                <w:caps w:val="0"/>
                <w:color w:val="1A1A1A"/>
                <w:sz w:val="19"/>
              </w:rPr>
              <w:t>Lead / Round Dynamics</w:t>
            </w:r>
          </w:p>
        </w:tc>
        <w:tc>
          <w:tcPr>
            <w:tcW w:type="dxa" w:w="792"/>
            <w:shd w:val="clear" w:color="auto" w:fill="F5F5F5"/>
            <w:tcMar>
              <w:top w:w="40" w:type="dxa"/>
              <w:bottom w:w="40" w:type="dxa"/>
              <w:left w:w="60" w:type="dxa"/>
              <w:right w:w="60" w:type="dxa"/>
            </w:tcMar>
            <w:tcBorders>
              <w:top w:val="nil"/>
              <w:left w:val="nil"/>
              <w:right w:val="nil"/>
              <w:bottom w:val="single" w:sz="4" w:color="E4DFD5"/>
            </w:tcBorders>
          </w:tcPr>
          <w:p>
            <w:r>
              <w:rPr>
                <w:rFonts w:ascii="Sora" w:hAnsi="Sora"/>
                <w:b/>
                <w:caps w:val="0"/>
                <w:color w:val="1A1A1A"/>
                <w:sz w:val="19"/>
              </w:rPr>
              <w:t>4</w:t>
            </w:r>
            <w:r>
              <w:rPr>
                <w:rFonts w:ascii="Sora" w:hAnsi="Sora"/>
                <w:b w:val="0"/>
                <w:caps w:val="0"/>
                <w:color w:val="828282"/>
                <w:sz w:val="17"/>
              </w:rPr>
              <w:t xml:space="preserve"> / 4</w:t>
            </w:r>
          </w:p>
        </w:tc>
        <w:tc>
          <w:tcPr>
            <w:tcW w:type="dxa" w:w="5904"/>
            <w:shd w:val="clear" w:color="auto" w:fill="F5F5F5"/>
            <w:tcMar>
              <w:top w:w="40" w:type="dxa"/>
              <w:bottom w:w="40" w:type="dxa"/>
              <w:left w:w="60" w:type="dxa"/>
              <w:right w:w="60" w:type="dxa"/>
            </w:tcMar>
            <w:tcBorders>
              <w:top w:val="nil"/>
              <w:left w:val="nil"/>
              <w:right w:val="nil"/>
              <w:bottom w:val="single" w:sz="4" w:color="E4DFD5"/>
            </w:tcBorders>
          </w:tcPr>
          <w:p>
            <w:r>
              <w:rPr>
                <w:rFonts w:ascii="Sora" w:hAnsi="Sora"/>
                <w:b w:val="0"/>
                <w:caps w:val="0"/>
                <w:color w:val="3C3C3C"/>
                <w:sz w:val="18"/>
              </w:rPr>
              <w:t>SambaNova is raising a $1B late-stage Series F round at an $11B valuation led by General Atlantic, a Tier 1 growth equity firm, with other large institutional investors (Seligman Ventures, T. Rowe Price, Capital Group) participating.[1][2][4] This is clearly new money into a late-stage AI infrastructure company with broad institutional access, aligning with the 4-score anchor for new-money Tier 1+ lead at Series B+.</w:t>
            </w:r>
          </w:p>
        </w:tc>
      </w:tr>
      <w:tr>
        <w:tc>
          <w:tcPr>
            <w:tcW w:type="dxa" w:w="2664"/>
            <w:shd w:val="clear" w:color="auto" w:fill="FFFFFF"/>
            <w:tcMar>
              <w:top w:w="40" w:type="dxa"/>
              <w:bottom w:w="40" w:type="dxa"/>
              <w:left w:w="60" w:type="dxa"/>
              <w:right w:w="60" w:type="dxa"/>
            </w:tcMar>
            <w:tcBorders>
              <w:top w:val="nil"/>
              <w:left w:val="nil"/>
              <w:right w:val="nil"/>
              <w:bottom w:val="single" w:sz="4" w:color="E4DFD5"/>
            </w:tcBorders>
          </w:tcPr>
          <w:p>
            <w:r>
              <w:rPr>
                <w:rFonts w:ascii="Sora" w:hAnsi="Sora"/>
                <w:b w:val="0"/>
                <w:caps w:val="0"/>
                <w:color w:val="1A1A1A"/>
                <w:sz w:val="19"/>
              </w:rPr>
              <w:t>Founder / Team Quality</w:t>
            </w:r>
          </w:p>
        </w:tc>
        <w:tc>
          <w:tcPr>
            <w:tcW w:type="dxa" w:w="792"/>
            <w:shd w:val="clear" w:color="auto" w:fill="FFFFFF"/>
            <w:tcMar>
              <w:top w:w="40" w:type="dxa"/>
              <w:bottom w:w="40" w:type="dxa"/>
              <w:left w:w="60" w:type="dxa"/>
              <w:right w:w="60" w:type="dxa"/>
            </w:tcMar>
            <w:tcBorders>
              <w:top w:val="nil"/>
              <w:left w:val="nil"/>
              <w:right w:val="nil"/>
              <w:bottom w:val="single" w:sz="4" w:color="E4DFD5"/>
            </w:tcBorders>
          </w:tcPr>
          <w:p>
            <w:r>
              <w:rPr>
                <w:rFonts w:ascii="Sora" w:hAnsi="Sora"/>
                <w:b/>
                <w:caps w:val="0"/>
                <w:color w:val="1A1A1A"/>
                <w:sz w:val="19"/>
              </w:rPr>
              <w:t>4</w:t>
            </w:r>
            <w:r>
              <w:rPr>
                <w:rFonts w:ascii="Sora" w:hAnsi="Sora"/>
                <w:b w:val="0"/>
                <w:caps w:val="0"/>
                <w:color w:val="828282"/>
                <w:sz w:val="17"/>
              </w:rPr>
              <w:t xml:space="preserve"> / 4</w:t>
            </w:r>
          </w:p>
        </w:tc>
        <w:tc>
          <w:tcPr>
            <w:tcW w:type="dxa" w:w="5904"/>
            <w:shd w:val="clear" w:color="auto" w:fill="FFFFFF"/>
            <w:tcMar>
              <w:top w:w="40" w:type="dxa"/>
              <w:bottom w:w="40" w:type="dxa"/>
              <w:left w:w="60" w:type="dxa"/>
              <w:right w:w="60" w:type="dxa"/>
            </w:tcMar>
            <w:tcBorders>
              <w:top w:val="nil"/>
              <w:left w:val="nil"/>
              <w:right w:val="nil"/>
              <w:bottom w:val="single" w:sz="4" w:color="E4DFD5"/>
            </w:tcBorders>
          </w:tcPr>
          <w:p>
            <w:r>
              <w:rPr>
                <w:rFonts w:ascii="Sora" w:hAnsi="Sora"/>
                <w:b w:val="0"/>
                <w:caps w:val="0"/>
                <w:color w:val="3C3C3C"/>
                <w:sz w:val="18"/>
              </w:rPr>
              <w:t>SambaNova was co-founded in 2017 by Stanford-affiliated faculty and engineers with deep expertise in AI and computer architecture, including Professor Kunle Olukotun (pioneer in parallel computing) and Rodrigo Liang (ex-Sun/Oracle hardware executive), giving it strong domain authority in AI chips and systems.[3][6] The company has scaled to hundreds of employees, attracted top-tier investors like BlackRock, SoftBank Vision Fund, Intel, GV, and Vista Equity, and repeatedly raised large late-stage rounds, evidencing strong recruiting and execution track record.[3][6]</w:t>
            </w:r>
          </w:p>
        </w:tc>
      </w:tr>
      <w:tr>
        <w:tc>
          <w:tcPr>
            <w:tcW w:type="dxa" w:w="2664"/>
            <w:shd w:val="clear" w:color="auto" w:fill="F5F5F5"/>
            <w:tcMar>
              <w:top w:w="40" w:type="dxa"/>
              <w:bottom w:w="40" w:type="dxa"/>
              <w:left w:w="60" w:type="dxa"/>
              <w:right w:w="60" w:type="dxa"/>
            </w:tcMar>
            <w:tcBorders>
              <w:top w:val="nil"/>
              <w:left w:val="nil"/>
              <w:right w:val="nil"/>
              <w:bottom w:val="single" w:sz="4" w:color="E4DFD5"/>
            </w:tcBorders>
          </w:tcPr>
          <w:p>
            <w:r>
              <w:rPr>
                <w:rFonts w:ascii="Sora" w:hAnsi="Sora"/>
                <w:b w:val="0"/>
                <w:caps w:val="0"/>
                <w:color w:val="1A1A1A"/>
                <w:sz w:val="19"/>
              </w:rPr>
              <w:t>Fundamentals</w:t>
            </w:r>
          </w:p>
        </w:tc>
        <w:tc>
          <w:tcPr>
            <w:tcW w:type="dxa" w:w="792"/>
            <w:shd w:val="clear" w:color="auto" w:fill="F5F5F5"/>
            <w:tcMar>
              <w:top w:w="40" w:type="dxa"/>
              <w:bottom w:w="40" w:type="dxa"/>
              <w:left w:w="60" w:type="dxa"/>
              <w:right w:w="60" w:type="dxa"/>
            </w:tcMar>
            <w:tcBorders>
              <w:top w:val="nil"/>
              <w:left w:val="nil"/>
              <w:right w:val="nil"/>
              <w:bottom w:val="single" w:sz="4" w:color="E4DFD5"/>
            </w:tcBorders>
          </w:tcPr>
          <w:p>
            <w:r>
              <w:rPr>
                <w:rFonts w:ascii="Sora" w:hAnsi="Sora"/>
                <w:b/>
                <w:caps w:val="0"/>
                <w:color w:val="1A1A1A"/>
                <w:sz w:val="19"/>
              </w:rPr>
              <w:t>3</w:t>
            </w:r>
            <w:r>
              <w:rPr>
                <w:rFonts w:ascii="Sora" w:hAnsi="Sora"/>
                <w:b w:val="0"/>
                <w:caps w:val="0"/>
                <w:color w:val="828282"/>
                <w:sz w:val="17"/>
              </w:rPr>
              <w:t xml:space="preserve"> / 4</w:t>
            </w:r>
          </w:p>
        </w:tc>
        <w:tc>
          <w:tcPr>
            <w:tcW w:type="dxa" w:w="5904"/>
            <w:shd w:val="clear" w:color="auto" w:fill="F5F5F5"/>
            <w:tcMar>
              <w:top w:w="40" w:type="dxa"/>
              <w:bottom w:w="40" w:type="dxa"/>
              <w:left w:w="60" w:type="dxa"/>
              <w:right w:w="60" w:type="dxa"/>
            </w:tcMar>
            <w:tcBorders>
              <w:top w:val="nil"/>
              <w:left w:val="nil"/>
              <w:right w:val="nil"/>
              <w:bottom w:val="single" w:sz="4" w:color="E4DFD5"/>
            </w:tcBorders>
          </w:tcPr>
          <w:p>
            <w:r>
              <w:rPr>
                <w:rFonts w:ascii="Sora" w:hAnsi="Sora"/>
                <w:b w:val="0"/>
                <w:caps w:val="0"/>
                <w:color w:val="3C3C3C"/>
                <w:sz w:val="18"/>
              </w:rPr>
              <w:t>SambaNova is a full-stack AI infrastructure provider selling proprietary DataScale hardware, software, and subscription-based AI services to enterprises and governments, generating diversified revenue from hardware, services, and recurring SaaS-like offerings.[6][8] Precise ARR, growth, NDR, and burn are not publicly disclosed, but the company has raised ~$1.5B+ historically and now an additional $1B at an $11B valuation from top-tier institutional investors, suggesting material revenue scale and traction; Sacra and TSG characterize it as a leading AI chip and infrastructure vendor with significant enterprise adoption, which supports a 3 (strong but not fully verified) rather than a default 2.[6][8]</w:t>
            </w:r>
          </w:p>
        </w:tc>
      </w:tr>
      <w:tr>
        <w:tc>
          <w:tcPr>
            <w:tcW w:type="dxa" w:w="2664"/>
            <w:shd w:val="clear" w:color="auto" w:fill="FFFFFF"/>
            <w:tcMar>
              <w:top w:w="40" w:type="dxa"/>
              <w:bottom w:w="40" w:type="dxa"/>
              <w:left w:w="60" w:type="dxa"/>
              <w:right w:w="60" w:type="dxa"/>
            </w:tcMar>
            <w:tcBorders>
              <w:top w:val="nil"/>
              <w:left w:val="nil"/>
              <w:right w:val="nil"/>
              <w:bottom w:val="single" w:sz="4" w:color="E4DFD5"/>
            </w:tcBorders>
          </w:tcPr>
          <w:p>
            <w:r>
              <w:rPr>
                <w:rFonts w:ascii="Sora" w:hAnsi="Sora"/>
                <w:b w:val="0"/>
                <w:caps w:val="0"/>
                <w:color w:val="1A1A1A"/>
                <w:sz w:val="19"/>
              </w:rPr>
              <w:t>Return Potential</w:t>
            </w:r>
          </w:p>
        </w:tc>
        <w:tc>
          <w:tcPr>
            <w:tcW w:type="dxa" w:w="792"/>
            <w:shd w:val="clear" w:color="auto" w:fill="FFFFFF"/>
            <w:tcMar>
              <w:top w:w="40" w:type="dxa"/>
              <w:bottom w:w="40" w:type="dxa"/>
              <w:left w:w="60" w:type="dxa"/>
              <w:right w:w="60" w:type="dxa"/>
            </w:tcMar>
            <w:tcBorders>
              <w:top w:val="nil"/>
              <w:left w:val="nil"/>
              <w:right w:val="nil"/>
              <w:bottom w:val="single" w:sz="4" w:color="E4DFD5"/>
            </w:tcBorders>
          </w:tcPr>
          <w:p>
            <w:r>
              <w:rPr>
                <w:rFonts w:ascii="Sora" w:hAnsi="Sora"/>
                <w:b/>
                <w:caps w:val="0"/>
                <w:color w:val="1A1A1A"/>
                <w:sz w:val="19"/>
              </w:rPr>
              <w:t>3</w:t>
            </w:r>
            <w:r>
              <w:rPr>
                <w:rFonts w:ascii="Sora" w:hAnsi="Sora"/>
                <w:b w:val="0"/>
                <w:caps w:val="0"/>
                <w:color w:val="828282"/>
                <w:sz w:val="17"/>
              </w:rPr>
              <w:t xml:space="preserve"> / 4</w:t>
            </w:r>
          </w:p>
        </w:tc>
        <w:tc>
          <w:tcPr>
            <w:tcW w:type="dxa" w:w="5904"/>
            <w:shd w:val="clear" w:color="auto" w:fill="FFFFFF"/>
            <w:tcMar>
              <w:top w:w="40" w:type="dxa"/>
              <w:bottom w:w="40" w:type="dxa"/>
              <w:left w:w="60" w:type="dxa"/>
              <w:right w:w="60" w:type="dxa"/>
            </w:tcMar>
            <w:tcBorders>
              <w:top w:val="nil"/>
              <w:left w:val="nil"/>
              <w:right w:val="nil"/>
              <w:bottom w:val="single" w:sz="4" w:color="E4DFD5"/>
            </w:tcBorders>
          </w:tcPr>
          <w:p>
            <w:r>
              <w:rPr>
                <w:rFonts w:ascii="Sora" w:hAnsi="Sora"/>
                <w:b w:val="0"/>
                <w:caps w:val="0"/>
                <w:color w:val="3C3C3C"/>
                <w:sz w:val="18"/>
              </w:rPr>
              <w:t>[ESTIMATED] Entry at an $11B post-money valuation in a company positioned as a challenger in the rapidly expanding AI compute market where Nvidia’s data center revenue and overall AI infrastructure TAM are growing at high double digits suggests plausible 3–6x MOIC if SambaNova can capture a meaningful share of enterprise and government workloads.[1][2][6] Competitive and execution risks are substantial (Nvidia dominance, other custom-chip players), and the valuation is already late-stage, so a 6x+ base case is ambitious but a 3–6x outcome appears realistic with disciplined growth and potential IPO/strategic exit, fitting the 3-score anchor.</w:t>
            </w:r>
          </w:p>
        </w:tc>
      </w:tr>
      <w:tr>
        <w:tc>
          <w:tcPr>
            <w:tcW w:type="dxa" w:w="2664"/>
            <w:shd w:val="clear" w:color="auto" w:fill="F5F5F5"/>
            <w:tcMar>
              <w:top w:w="40" w:type="dxa"/>
              <w:bottom w:w="40" w:type="dxa"/>
              <w:left w:w="60" w:type="dxa"/>
              <w:right w:w="60" w:type="dxa"/>
            </w:tcMar>
            <w:tcBorders>
              <w:top w:val="nil"/>
              <w:left w:val="nil"/>
              <w:right w:val="nil"/>
              <w:bottom w:val="single" w:sz="4" w:color="E4DFD5"/>
            </w:tcBorders>
          </w:tcPr>
          <w:p>
            <w:r>
              <w:rPr>
                <w:rFonts w:ascii="Sora" w:hAnsi="Sora"/>
                <w:b w:val="0"/>
                <w:caps w:val="0"/>
                <w:color w:val="1A1A1A"/>
                <w:sz w:val="19"/>
              </w:rPr>
              <w:t>AI Score</w:t>
            </w:r>
          </w:p>
        </w:tc>
        <w:tc>
          <w:tcPr>
            <w:tcW w:type="dxa" w:w="792"/>
            <w:shd w:val="clear" w:color="auto" w:fill="F5F5F5"/>
            <w:tcMar>
              <w:top w:w="40" w:type="dxa"/>
              <w:bottom w:w="40" w:type="dxa"/>
              <w:left w:w="60" w:type="dxa"/>
              <w:right w:w="60" w:type="dxa"/>
            </w:tcMar>
            <w:tcBorders>
              <w:top w:val="nil"/>
              <w:left w:val="nil"/>
              <w:right w:val="nil"/>
              <w:bottom w:val="single" w:sz="4" w:color="E4DFD5"/>
            </w:tcBorders>
          </w:tcPr>
          <w:p>
            <w:r>
              <w:rPr>
                <w:rFonts w:ascii="Sora" w:hAnsi="Sora"/>
                <w:b/>
                <w:caps w:val="0"/>
                <w:color w:val="1A1A1A"/>
                <w:sz w:val="19"/>
              </w:rPr>
              <w:t>4</w:t>
            </w:r>
            <w:r>
              <w:rPr>
                <w:rFonts w:ascii="Sora" w:hAnsi="Sora"/>
                <w:b w:val="0"/>
                <w:caps w:val="0"/>
                <w:color w:val="828282"/>
                <w:sz w:val="17"/>
              </w:rPr>
              <w:t xml:space="preserve"> / 4</w:t>
            </w:r>
          </w:p>
        </w:tc>
        <w:tc>
          <w:tcPr>
            <w:tcW w:type="dxa" w:w="5904"/>
            <w:shd w:val="clear" w:color="auto" w:fill="F5F5F5"/>
            <w:tcMar>
              <w:top w:w="40" w:type="dxa"/>
              <w:bottom w:w="40" w:type="dxa"/>
              <w:left w:w="60" w:type="dxa"/>
              <w:right w:w="60" w:type="dxa"/>
            </w:tcMar>
            <w:tcBorders>
              <w:top w:val="nil"/>
              <w:left w:val="nil"/>
              <w:right w:val="nil"/>
              <w:bottom w:val="single" w:sz="4" w:color="E4DFD5"/>
            </w:tcBorders>
          </w:tcPr>
          <w:p>
            <w:r>
              <w:rPr>
                <w:rFonts w:ascii="Sora" w:hAnsi="Sora"/>
                <w:b w:val="0"/>
                <w:caps w:val="0"/>
                <w:color w:val="3C3C3C"/>
                <w:sz w:val="18"/>
              </w:rPr>
              <w:t>SambaNova is a pure-play AI infrastructure company whose core products are proprietary AI chips, systems, and software designed specifically for training and inference on large models, not generic compute.[1][6][8] Its moat rests on custom architecture, tightly integrated hardware–software stack (SambaNova Suite) and enterprise deployment model; this cannot be trivially replicated as a feature of Claude/GPT/Gemini and is instead a foundational layer those models depend on, matching the rubric’s pure-play AI moat anchor for score 4.[6][8]</w:t>
            </w:r>
          </w:p>
        </w:tc>
      </w:tr>
      <w:tr>
        <w:tc>
          <w:tcPr>
            <w:tcW w:type="dxa" w:w="2664"/>
            <w:shd w:val="clear" w:color="auto" w:fill="FFFFFF"/>
            <w:tcMar>
              <w:top w:w="40" w:type="dxa"/>
              <w:bottom w:w="40" w:type="dxa"/>
              <w:left w:w="60" w:type="dxa"/>
              <w:right w:w="60" w:type="dxa"/>
            </w:tcMar>
            <w:tcBorders>
              <w:top w:val="nil"/>
              <w:left w:val="nil"/>
              <w:right w:val="nil"/>
              <w:bottom w:val="single" w:sz="4" w:color="E4DFD5"/>
            </w:tcBorders>
          </w:tcPr>
          <w:p>
            <w:r>
              <w:rPr>
                <w:rFonts w:ascii="Sora" w:hAnsi="Sora"/>
                <w:b w:val="0"/>
                <w:caps w:val="0"/>
                <w:color w:val="1A1A1A"/>
                <w:sz w:val="19"/>
              </w:rPr>
              <w:t>Terms</w:t>
            </w:r>
          </w:p>
        </w:tc>
        <w:tc>
          <w:tcPr>
            <w:tcW w:type="dxa" w:w="792"/>
            <w:shd w:val="clear" w:color="auto" w:fill="FFFFFF"/>
            <w:tcMar>
              <w:top w:w="40" w:type="dxa"/>
              <w:bottom w:w="40" w:type="dxa"/>
              <w:left w:w="60" w:type="dxa"/>
              <w:right w:w="60" w:type="dxa"/>
            </w:tcMar>
            <w:tcBorders>
              <w:top w:val="nil"/>
              <w:left w:val="nil"/>
              <w:right w:val="nil"/>
              <w:bottom w:val="single" w:sz="4" w:color="E4DFD5"/>
            </w:tcBorders>
          </w:tcPr>
          <w:p>
            <w:r>
              <w:rPr>
                <w:rFonts w:ascii="Sora" w:hAnsi="Sora"/>
                <w:b/>
                <w:caps w:val="0"/>
                <w:color w:val="1A1A1A"/>
                <w:sz w:val="19"/>
              </w:rPr>
              <w:t>2</w:t>
            </w:r>
            <w:r>
              <w:rPr>
                <w:rFonts w:ascii="Sora" w:hAnsi="Sora"/>
                <w:b w:val="0"/>
                <w:caps w:val="0"/>
                <w:color w:val="828282"/>
                <w:sz w:val="17"/>
              </w:rPr>
              <w:t xml:space="preserve"> / 4</w:t>
            </w:r>
          </w:p>
        </w:tc>
        <w:tc>
          <w:tcPr>
            <w:tcW w:type="dxa" w:w="5904"/>
            <w:shd w:val="clear" w:color="auto" w:fill="FFFFFF"/>
            <w:tcMar>
              <w:top w:w="40" w:type="dxa"/>
              <w:bottom w:w="40" w:type="dxa"/>
              <w:left w:w="60" w:type="dxa"/>
              <w:right w:w="60" w:type="dxa"/>
            </w:tcMar>
            <w:tcBorders>
              <w:top w:val="nil"/>
              <w:left w:val="nil"/>
              <w:right w:val="nil"/>
              <w:bottom w:val="single" w:sz="4" w:color="E4DFD5"/>
            </w:tcBorders>
          </w:tcPr>
          <w:p>
            <w:r>
              <w:rPr>
                <w:rFonts w:ascii="Sora" w:hAnsi="Sora"/>
                <w:b w:val="0"/>
                <w:caps w:val="0"/>
                <w:color w:val="3C3C3C"/>
                <w:sz w:val="18"/>
              </w:rPr>
              <w:t>Public coverage of the $1B Series F round reports only the round size, valuation, and investor list; there is no disclosure of SPV-level economics, carry, upfront access fees, or information rights for potential co-investors.[1][4][5] Given the late-stage, oversubscribed nature of the round and involvement of large growth/institutional investors, ID8 is likely to access the deal via a third-party SPV or structured secondary with elevated carry or modest upfront fees rather than direct 0/0/10, so a conservative 2 is appropriate in the absence of explicit favorable terms.</w:t>
            </w:r>
          </w:p>
        </w:tc>
      </w:tr>
    </w:tbl>
    <w:p>
      <w:pPr>
        <w:spacing w:after="160"/>
      </w:pPr>
    </w:p>
    <w:p>
      <w:pPr>
        <w:spacing w:after="120"/>
        <w:pBdr>
          <w:bottom w:val="single" w:sz="6" w:color="1A1A1A" w:space="4"/>
        </w:pBdr>
      </w:pPr>
      <w:r>
        <w:rPr>
          <w:rFonts w:ascii="Roboto Serif" w:hAnsi="Roboto Serif"/>
          <w:b/>
          <w:caps w:val="0"/>
          <w:color w:val="1A1A1A"/>
          <w:sz w:val="24"/>
        </w:rPr>
        <w:t>RATIONALE</w:t>
      </w:r>
    </w:p>
    <w:p>
      <w:pPr>
        <w:spacing w:before="120" w:after="120"/>
        <w:jc w:val="both"/>
      </w:pPr>
      <w:r>
        <w:rPr>
          <w:rFonts w:ascii="Sora" w:hAnsi="Sora"/>
          <w:b w:val="0"/>
          <w:caps w:val="0"/>
          <w:color w:val="1A1A1A"/>
          <w:sz w:val="21"/>
        </w:rPr>
        <w:t>SambaNova Systems is a US-based, late-stage AI infrastructure company squarely within ID8’s geographic and Series B+ mandate, with a new-money Series F led by General Atlantic at an $11B valuation and broad institutional participation.[1][2][4] The deal aligns strongly with ID8’s thesis: Tier 1+ new-money lead, deeply structural AI moat at the hardware and systems layer, and an experienced founding team with significant domain credibility and fundraising history.[3][6] Fundamentals and return potential look solid but are partly inferred from funding scale and positioning rather than disclosed metrics, and terms are likely to come through an SPV with non-baseline economics, so further work would need to focus on revenue scale, growth and exact access structure before committing.</w:t>
      </w:r>
    </w:p>
    <w:p>
      <w:pPr>
        <w:spacing w:before="80"/>
      </w:pPr>
      <w:r>
        <w:rPr>
          <w:rFonts w:ascii="Sora" w:hAnsi="Sora"/>
          <w:b w:val="0"/>
          <w:caps w:val="0"/>
          <w:color w:val="828282"/>
          <w:sz w:val="18"/>
        </w:rPr>
        <w:t>Confidence: medium</w:t>
      </w:r>
    </w:p>
    <w:sectPr w:rsidR="00FC693F" w:rsidRPr="0006063C" w:rsidSect="00034616">
      <w:footerReference w:type="default" r:id="rId9"/>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ra" w:hAnsi="Sora"/>
        <w:b w:val="0"/>
        <w:caps w:val="0"/>
        <w:color w:val="828282"/>
        <w:sz w:val="17"/>
      </w:rPr>
      <w:t xml:space="preserve">Page </w:t>
    </w:r>
    <w:fldChar w:fldCharType="begin"/>
    <w:instrText xml:space="preserve"> PAGE </w:instrText>
    <w:fldChar w:fldCharType="end"/>
    <w:r>
      <w:rPr>
        <w:rFonts w:ascii="Sora" w:hAnsi="Sora"/>
        <w:b w:val="0"/>
        <w:caps w:val="0"/>
        <w:color w:val="828282"/>
        <w:sz w:val="17"/>
      </w:rPr>
      <w:t xml:space="preserve"> of </w:t>
    </w:r>
    <w:fldChar w:fldCharType="begin"/>
    <w:instrText xml:space="preserve"> NUMPAGES </w:instrText>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1440"/>
      <w:gridCol w:w="7920"/>
    </w:tblGrid>
    <w:tr>
      <w:tc>
        <w:tcPr>
          <w:tcW w:type="dxa" w:w="4680"/>
          <w:tcBorders>
            <w:top w:val="nil"/>
            <w:left w:val="nil"/>
            <w:right w:val="nil"/>
            <w:bottom w:val="single" w:sz="4" w:color="1A1A1A"/>
          </w:tcBorders>
        </w:tcPr>
        <w:p>
          <w:r>
            <w:drawing>
              <wp:inline xmlns:a="http://schemas.openxmlformats.org/drawingml/2006/main" xmlns:pic="http://schemas.openxmlformats.org/drawingml/2006/picture">
                <wp:extent cx="594360" cy="58725"/>
                <wp:docPr id="1" name="Picture 1"/>
                <wp:cNvGraphicFramePr>
                  <a:graphicFrameLocks noChangeAspect="1"/>
                </wp:cNvGraphicFramePr>
                <a:graphic>
                  <a:graphicData uri="http://schemas.openxmlformats.org/drawingml/2006/picture">
                    <pic:pic>
                      <pic:nvPicPr>
                        <pic:cNvPr id="0" name="id8_charcoal.png"/>
                        <pic:cNvPicPr/>
                      </pic:nvPicPr>
                      <pic:blipFill>
                        <a:blip r:embed="rId1"/>
                        <a:stretch>
                          <a:fillRect/>
                        </a:stretch>
                      </pic:blipFill>
                      <pic:spPr>
                        <a:xfrm>
                          <a:off x="0" y="0"/>
                          <a:ext cx="594360" cy="58725"/>
                        </a:xfrm>
                        <a:prstGeom prst="rect"/>
                      </pic:spPr>
                    </pic:pic>
                  </a:graphicData>
                </a:graphic>
              </wp:inline>
            </w:drawing>
          </w:r>
        </w:p>
      </w:tc>
      <w:tc>
        <w:tcPr>
          <w:tcW w:type="dxa" w:w="4680"/>
          <w:tcBorders>
            <w:top w:val="nil"/>
            <w:left w:val="nil"/>
            <w:right w:val="nil"/>
            <w:bottom w:val="single" w:sz="4" w:color="1A1A1A"/>
          </w:tcBorders>
        </w:tcPr>
        <w:p>
          <w:pPr>
            <w:spacing w:before="80"/>
            <w:jc w:val="right"/>
          </w:pPr>
          <w:r>
            <w:rPr>
              <w:rFonts w:ascii="Sora" w:hAnsi="Sora"/>
              <w:b w:val="0"/>
              <w:caps/>
              <w:color w:val="828282"/>
              <w:sz w:val="16"/>
            </w:rPr>
            <w:t>DEAL SCREEN  ·  ID8 INVESTMENTS  ·  CONFIDENTIAL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ora" w:hAnsi="Sor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