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Roboto Serif" w:hAnsi="Roboto Serif"/>
          <w:b/>
          <w:caps w:val="0"/>
          <w:color w:val="1A1A1A"/>
          <w:sz w:val="44"/>
        </w:rPr>
        <w:t>Ollin</w:t>
      </w:r>
    </w:p>
    <w:p>
      <w:pPr>
        <w:spacing w:after="40"/>
      </w:pPr>
      <w:r>
        <w:rPr>
          <w:rFonts w:ascii="Sora" w:hAnsi="Sora"/>
          <w:b w:val="0"/>
          <w:caps w:val="0"/>
          <w:color w:val="828282"/>
          <w:sz w:val="21"/>
        </w:rPr>
        <w:t>ollin.bio   ·   Series B   ·   Austin, TX   ·   ARCH Venture Partners, TCG Crossover Management(Cariad Chester)</w:t>
      </w:r>
    </w:p>
    <w:p>
      <w:pPr>
        <w:spacing w:after="200"/>
      </w:pPr>
      <w:r>
        <w:rPr>
          <w:rFonts w:ascii="Sora" w:hAnsi="Sora"/>
          <w:b w:val="0"/>
          <w:caps w:val="0"/>
          <w:color w:val="828282"/>
          <w:sz w:val="18"/>
        </w:rPr>
        <w:t>Screened 2026-06-30</w:t>
      </w:r>
    </w:p>
    <w:p>
      <w:pPr>
        <w:spacing w:after="120"/>
        <w:pBdr>
          <w:bottom w:val="single" w:sz="6" w:color="1A1A1A" w:space="4"/>
        </w:pBdr>
      </w:pPr>
      <w:r>
        <w:rPr>
          <w:rFonts w:ascii="Roboto Serif" w:hAnsi="Roboto Serif"/>
          <w:b/>
          <w:caps w:val="0"/>
          <w:color w:val="1A1A1A"/>
          <w:sz w:val="28"/>
        </w:rPr>
        <w:t>FIT ASSESSMENT</w:t>
      </w:r>
    </w:p>
    <w:p>
      <w:pPr>
        <w:spacing w:before="120" w:after="240"/>
      </w:pPr>
      <w:r>
        <w:rPr>
          <w:rFonts w:ascii="Roboto Serif" w:hAnsi="Roboto Serif"/>
          <w:b/>
          <w:caps w:val="0"/>
          <w:color w:val="1A1A1A"/>
          <w:sz w:val="32"/>
        </w:rPr>
        <w:t>2.0 / 4.0</w:t>
      </w:r>
      <w:r>
        <w:rPr>
          <w:rFonts w:ascii="Sora" w:hAnsi="Sora"/>
          <w:b w:val="0"/>
          <w:caps w:val="0"/>
          <w:color w:val="828282"/>
          <w:sz w:val="21"/>
        </w:rPr>
        <w:t xml:space="preserve">   —   BELOW THRESHOLD</w:t>
      </w:r>
    </w:p>
    <w:tbl>
      <w:tblPr>
        <w:tblW w:type="auto" w:w="0"/>
        <w:tblLayout w:type="fixed"/>
        <w:tblLook w:firstColumn="1" w:firstRow="1" w:lastColumn="0" w:lastRow="0" w:noHBand="0" w:noVBand="1" w:val="04A0"/>
      </w:tblPr>
      <w:tblGrid>
        <w:gridCol w:w="3120"/>
        <w:gridCol w:w="3120"/>
        <w:gridCol w:w="3120"/>
      </w:tblGrid>
      <w:tr>
        <w:tc>
          <w:tcPr>
            <w:tcW w:type="dxa" w:w="2664"/>
            <w:shd w:val="clear" w:color="auto" w:fill="1A1A1A"/>
            <w:tcMar>
              <w:top w:w="40" w:type="dxa"/>
              <w:bottom w:w="40" w:type="dxa"/>
              <w:left w:w="60" w:type="dxa"/>
              <w:right w:w="60" w:type="dxa"/>
            </w:tcMar>
          </w:tcPr>
          <w:p>
            <w:r>
              <w:rPr>
                <w:rFonts w:ascii="Sora" w:hAnsi="Sora"/>
                <w:b/>
                <w:caps/>
                <w:color w:val="FFFFFF"/>
                <w:sz w:val="18"/>
              </w:rPr>
              <w:t>Dimension</w:t>
            </w:r>
          </w:p>
        </w:tc>
        <w:tc>
          <w:tcPr>
            <w:tcW w:type="dxa" w:w="792"/>
            <w:shd w:val="clear" w:color="auto" w:fill="1A1A1A"/>
            <w:tcMar>
              <w:top w:w="40" w:type="dxa"/>
              <w:bottom w:w="40" w:type="dxa"/>
              <w:left w:w="60" w:type="dxa"/>
              <w:right w:w="60" w:type="dxa"/>
            </w:tcMar>
          </w:tcPr>
          <w:p>
            <w:r>
              <w:rPr>
                <w:rFonts w:ascii="Sora" w:hAnsi="Sora"/>
                <w:b/>
                <w:caps/>
                <w:color w:val="FFFFFF"/>
                <w:sz w:val="18"/>
              </w:rPr>
              <w:t>Score</w:t>
            </w:r>
          </w:p>
        </w:tc>
        <w:tc>
          <w:tcPr>
            <w:tcW w:type="dxa" w:w="5904"/>
            <w:shd w:val="clear" w:color="auto" w:fill="1A1A1A"/>
            <w:tcMar>
              <w:top w:w="40" w:type="dxa"/>
              <w:bottom w:w="40" w:type="dxa"/>
              <w:left w:w="60" w:type="dxa"/>
              <w:right w:w="60" w:type="dxa"/>
            </w:tcMar>
          </w:tcPr>
          <w:p>
            <w:r>
              <w:rPr>
                <w:rFonts w:ascii="Sora" w:hAnsi="Sora"/>
                <w:b/>
                <w:caps/>
                <w:color w:val="FFFFFF"/>
                <w:sz w:val="18"/>
              </w:rPr>
              <w:t>Evidence</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Lead / Round Dynamics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3</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Ollin’s $330 million Series B was co-led by TCGX and ARCH Venture Partners, and the company explicitly says TCGX was a new investor while ARCH was a founding investor. That fits a strong new-money top-tier lead/co-lead dynamic, though ARCH appears to be an inside/founding investor rather than both leads being entirely new money.[3][2]</w:t>
            </w:r>
          </w:p>
        </w:tc>
      </w:tr>
      <w:tr>
        <w:tc>
          <w:tcPr>
            <w:tcW w:type="dxa" w:w="266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AI Score</w:t>
            </w:r>
          </w:p>
        </w:tc>
        <w:tc>
          <w:tcPr>
            <w:tcW w:type="dxa" w:w="792"/>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1</w:t>
            </w:r>
            <w:r>
              <w:rPr>
                <w:rFonts w:ascii="Sora" w:hAnsi="Sora"/>
                <w:b w:val="0"/>
                <w:caps w:val="0"/>
                <w:color w:val="828282"/>
                <w:sz w:val="17"/>
              </w:rPr>
              <w:t xml:space="preserve"> / 4</w:t>
            </w:r>
          </w:p>
        </w:tc>
        <w:tc>
          <w:tcPr>
            <w:tcW w:type="dxa" w:w="590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Ollin Biosciences is a clinical-stage ophthalmology/biopharma company focused on vision-threatening diseases and Phase 3 development, with no evidence that AI is a meaningful part of the product or value proposition.[3][2]</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Fundamentals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1</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This is a biotech company, so the revenue/growth/NDR/LTV-CAC anchors are not disclosed in the available sources, and no operating metrics were found. With no evidence for the rubric’s fundamentals thresholds, this scores low by the prompt’s skepticism rule.[3][2]</w:t>
            </w:r>
          </w:p>
        </w:tc>
      </w:tr>
      <w:tr>
        <w:tc>
          <w:tcPr>
            <w:tcW w:type="dxa" w:w="266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Return Potential</w:t>
            </w:r>
          </w:p>
        </w:tc>
        <w:tc>
          <w:tcPr>
            <w:tcW w:type="dxa" w:w="792"/>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3</w:t>
            </w:r>
            <w:r>
              <w:rPr>
                <w:rFonts w:ascii="Sora" w:hAnsi="Sora"/>
                <w:b w:val="0"/>
                <w:caps w:val="0"/>
                <w:color w:val="828282"/>
                <w:sz w:val="17"/>
              </w:rPr>
              <w:t xml:space="preserve"> / 4</w:t>
            </w:r>
          </w:p>
        </w:tc>
        <w:tc>
          <w:tcPr>
            <w:tcW w:type="dxa" w:w="590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The round is large and supports global Phase 3 studies for a late-stage ophthalmology asset, which implies meaningful upside if the program succeeds, but it is still clinical-stage biotech with substantial binary risk. That supports greater than 3x potential with some risk of capital loss rather than a near-certain 7x+ outcome.[3][2][6]</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Terms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2</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The publicly available sources identify a large oversubscribed Series B co-led by institutional investors, but they do not disclose carry, fee, SPV structure, or time horizon. With insufficient data on economics, this fits the rubric’s lower-confidence middle band rather than a clean 0/10 SPV or better-than-0/10 outcome.[3][2]</w:t>
            </w:r>
          </w:p>
        </w:tc>
      </w:tr>
    </w:tbl>
    <w:p>
      <w:pPr>
        <w:spacing w:after="160"/>
      </w:pPr>
    </w:p>
    <w:p>
      <w:pPr>
        <w:spacing w:after="120"/>
        <w:pBdr>
          <w:bottom w:val="single" w:sz="6" w:color="1A1A1A" w:space="4"/>
        </w:pBdr>
      </w:pPr>
      <w:r>
        <w:rPr>
          <w:rFonts w:ascii="Roboto Serif" w:hAnsi="Roboto Serif"/>
          <w:b/>
          <w:caps w:val="0"/>
          <w:color w:val="1A1A1A"/>
          <w:sz w:val="24"/>
        </w:rPr>
        <w:t>RATIONALE</w:t>
      </w:r>
    </w:p>
    <w:p>
      <w:pPr>
        <w:spacing w:before="120" w:after="120"/>
        <w:jc w:val="both"/>
      </w:pPr>
      <w:r>
        <w:rPr>
          <w:rFonts w:ascii="Sora" w:hAnsi="Sora"/>
          <w:b w:val="0"/>
          <w:caps w:val="0"/>
          <w:color w:val="1A1A1A"/>
          <w:sz w:val="21"/>
        </w:rPr>
        <w:t>The deal passes the stage and geography gate: it is a Series B and the company is headquartered in Austin, Texas. It partially aligns with ID8’s thesis because the round includes a genuine new-money Tier 1 lead in TCGX, but it also includes ARCH as a founding/inside investor, so this is not a pure first-time new-money Tier 1-led round. Overall this looks like a strong but not perfect fit: compelling lead quality and late-stage biotech upside, but no AI exposure and no disclosed operating metrics or terms.</w:t>
      </w:r>
    </w:p>
    <w:p>
      <w:pPr>
        <w:spacing w:before="80"/>
      </w:pPr>
      <w:r>
        <w:rPr>
          <w:rFonts w:ascii="Sora" w:hAnsi="Sora"/>
          <w:b w:val="0"/>
          <w:caps w:val="0"/>
          <w:color w:val="828282"/>
          <w:sz w:val="18"/>
        </w:rPr>
        <w:t>Confidence: high</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ora" w:hAnsi="Sora"/>
        <w:b w:val="0"/>
        <w:caps w:val="0"/>
        <w:color w:val="828282"/>
        <w:sz w:val="17"/>
      </w:rPr>
      <w:t xml:space="preserve">Page </w:t>
    </w:r>
    <w:fldChar w:fldCharType="begin"/>
    <w:instrText xml:space="preserve"> PAGE </w:instrText>
    <w:fldChar w:fldCharType="end"/>
    <w:r>
      <w:rPr>
        <w:rFonts w:ascii="Sora" w:hAnsi="Sora"/>
        <w:b w:val="0"/>
        <w:caps w:val="0"/>
        <w:color w:val="828282"/>
        <w:sz w:val="17"/>
      </w:rPr>
      <w:t xml:space="preserve"> of </w:t>
    </w:r>
    <w:fldChar w:fldCharType="begin"/>
    <w:instrText xml:space="preserve"> NUMPAGES </w:instrText>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1440"/>
      <w:gridCol w:w="7920"/>
    </w:tblGrid>
    <w:tr>
      <w:tc>
        <w:tcPr>
          <w:tcW w:type="dxa" w:w="4680"/>
          <w:tcBorders>
            <w:top w:val="nil"/>
            <w:left w:val="nil"/>
            <w:right w:val="nil"/>
            <w:bottom w:val="single" w:sz="4" w:color="1A1A1A"/>
          </w:tcBorders>
        </w:tcPr>
        <w:p>
          <w:r>
            <w:drawing>
              <wp:inline xmlns:a="http://schemas.openxmlformats.org/drawingml/2006/main" xmlns:pic="http://schemas.openxmlformats.org/drawingml/2006/picture">
                <wp:extent cx="594360" cy="58725"/>
                <wp:docPr id="1" name="Picture 1"/>
                <wp:cNvGraphicFramePr>
                  <a:graphicFrameLocks noChangeAspect="1"/>
                </wp:cNvGraphicFramePr>
                <a:graphic>
                  <a:graphicData uri="http://schemas.openxmlformats.org/drawingml/2006/picture">
                    <pic:pic>
                      <pic:nvPicPr>
                        <pic:cNvPr id="0" name="id8_charcoal.png"/>
                        <pic:cNvPicPr/>
                      </pic:nvPicPr>
                      <pic:blipFill>
                        <a:blip r:embed="rId1"/>
                        <a:stretch>
                          <a:fillRect/>
                        </a:stretch>
                      </pic:blipFill>
                      <pic:spPr>
                        <a:xfrm>
                          <a:off x="0" y="0"/>
                          <a:ext cx="594360" cy="58725"/>
                        </a:xfrm>
                        <a:prstGeom prst="rect"/>
                      </pic:spPr>
                    </pic:pic>
                  </a:graphicData>
                </a:graphic>
              </wp:inline>
            </w:drawing>
          </w:r>
        </w:p>
      </w:tc>
      <w:tc>
        <w:tcPr>
          <w:tcW w:type="dxa" w:w="4680"/>
          <w:tcBorders>
            <w:top w:val="nil"/>
            <w:left w:val="nil"/>
            <w:right w:val="nil"/>
            <w:bottom w:val="single" w:sz="4" w:color="1A1A1A"/>
          </w:tcBorders>
        </w:tcPr>
        <w:p>
          <w:pPr>
            <w:spacing w:before="80"/>
            <w:jc w:val="right"/>
          </w:pPr>
          <w:r>
            <w:rPr>
              <w:rFonts w:ascii="Sora" w:hAnsi="Sora"/>
              <w:b w:val="0"/>
              <w:caps/>
              <w:color w:val="828282"/>
              <w:sz w:val="16"/>
            </w:rPr>
            <w:t>DEAL SCREEN  ·  ID8 INVESTMENTS  ·  CONFIDENTIAL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ra" w:hAnsi="Sor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