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Paper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paper.design   ·   Series A   ·   Irvine, CA   ·   Accel, ICONIQ Capital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2026-07-27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2.6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2.6)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SCORING FAILED — NOT SCREENED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3.1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Series A is led by new-money Tier 1+ Accel and ICONIQ, with Accel re-upping from seed; stage is Series A, outside mandate.[2][8][18]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Founder / Team Quality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Founder Stephen Haney shows some public presence and no red flags, but prior exits, team composition, and recruiting traction remain largely undocumented.[9][13]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2.5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Paper is an AI-native design canvas integrating multiple external agents and accumulating proprietary design-system data, but owns no core models itself.[1][7][17]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3.0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No adverse term signals are public, so we assume standard 0/0/10-style venture economics for future co-invest opportunities.[2][8]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Financial metrics are undisclosed, but AI-centric workflow moat and large professional design TAM suggest early yet scalable fundamentals, with limited visibility into efficiency or concentration.[1][2][6]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With a Tier 1+ syndicate, big design TAM, and AI tailwinds, upside appears venture-scale, though entry multiple, dilution, and timelines are still unclear.[1][2][11]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Paper aligns with ID8's AI thesis via its AI-native design canvas and new-money Tier 1+ co-leads Accel and ICONIQ.[1][2][8] As a Series A round outside ID8's Series B+ mandate, Paper goes on the watch list for future evaluation.[2]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low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