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Arrakis Technologies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arrakistechnologies.ai   ·   Series A   ·   New York, NY   ·   Blossom Capital(Ophelia Brown), Sequoia Capital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2.5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2.5)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SCORING FAILED — NOT SCREENED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2.8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Round is Blossom-led Series A with new-money lead and Accel following on, giving strong institutional momentum despite non-Tier1 lead and limited strategic relevance.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Founder / Team Quality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2.7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Founding team led by ex-Accel investor shows credible pedigree and media presence, but remains small, with unclear industrial domain depth and no prior founder exits.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Arrakis is a pure-play AI agents company for mission-critical industrial workflows, though proprietary model ownership and a demonstrated data flywheel are not yet clearly evidenced.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With no adverse signal on fees or carry, co-investment terms are assumed standard 0/0/10 without recurring management fees or excessive upfront access costs.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Fundamentals undisclosed given youth, but venture-scale industrial AI focus and mission-critical workflow integration indicate early moat strength despite unknown revenue and unit economics.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Return potential appears venture-scale given TAM and industrial AI positioning, but unknown financials, dilution, and secondary demand keep modeled outcomes preliminary and speculative.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Arrakis's Blossom-led Series A, with Accel re-upping, backs mission-critical industrial AI agents but leaves most financial fundamentals unreported. It fits ID8's AI and Tier1 thesis, yet Series A stage is out of mandate, so added to the watch list.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