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Neo Security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neo.ai   ·   Series A   ·   Boston, MA   ·   Andreessen Horowitz(Zane Lackey), Bessemer Venture Partners(Elliott Robinson)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2026-07-27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2.7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2.7)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WATCH LIST — OUTSIDE MANDATE (STAGE)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3.1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Tier1+ new-money co-lead plus strong follow-on participation create excellent institutional signal, though Series A stage keeps round outside ID8’s current deployment mandate.[3][4][11]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Former SentinelOne leaders provide strong cybersecurity domain expertise and credible leadership, but limited data on hiring momentum leaves some execution risk unanswered.[3][6][9]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Neo’s product squarely targets AI agent governance and security, implying meaningful AI-driven moat even though proprietary model ownership and training pipeline are not yet documented publicly.[4][6]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Series A appears to be a standard VC-led equity round with no public indications of unusual fees, carry, or complex SPV layering.[3][4]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Financial metrics remain undisclosed, but Neo targets a large enterprise AI security market with emerging moat around agentic endpoint protection, suggesting upside once traction is proven.[3][4][6]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Tier1 leads and a new category in AI security imply attractive potential returns, though absent valuation data keeps MOIC and IRR modeling preliminary at this stage.[3][4][6]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Neo Security aligns strongly with ID8’s AI thesis, securing agentic software at the endpoint with new-money Tier1 co-lead Bessemer and re-upping Tier1 lead Andreessen Horowitz.[3][4][6][11] Because this is a Series A round, outside the fund’s Series B+ mandate, Neo should be tracked on the watch list for reevaluation once later-stage traction emerges.[3][11]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