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CuspAI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cusp.ai   ·   Series B   ·   Cambridge, United Kingdom   ·   Kleiner Perkins(Joshua Coyne), New Enterprise Associates(Lila Tretikov)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2026-07-27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3.1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(raw 3.1)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CLEARS GATE · GO / IC REVIEW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New-money Tier 1 co-lead Kleiner Perkins with NEA re-up at a large Series B, strong prior Tier 1 backing, but domain-strategic signal limited.[3][4][10]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Founder / Team Quality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World-class AI co-founder Max Welling and a growing multi-office team show strong domain authority and recruiting, though prior founder exit track record is limited.[5][6][17]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3.5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Proprietary generative and physics-based models plus a scientific data engine make AI structural to CuspAI's materials platform, not a thin wrapper on foundation models.[6][18]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3.0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No public SPV or fee information appears; in absence of adverse signals, terms are assumed to be standard co-invest economics with typical venture protections.[3][10][13]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2.6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Fundamentals are promising but thinly disclosed, with early-stage revenue likely below $25M, strong TAM and moat signals, diversified partnerships, and a $2.6B Series B valuation.[1][2][3]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2.8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Despite rich entry pricing, scaling AI materials discovery across industries could plausibly support a 3-6x base-case MOIC with standard downside protection.[1][2][20]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CuspAI fits ID8’s thesis with a new-money Tier 1 co-lead (Kleiner Perkins) at Series B and a genuinely structural AI-driven materials platform.[3][4][10] Fundamentals are still early and thinly disclosed, but TAM, team and moat suggest real upside.[1][2][6]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