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Roboto Serif" w:hAnsi="Roboto Serif"/>
          <w:b/>
          <w:caps w:val="0"/>
          <w:color w:val="1A1A1A"/>
          <w:sz w:val="44"/>
        </w:rPr>
        <w:t>AdvanCell</w:t>
      </w:r>
    </w:p>
    <w:p>
      <w:pPr>
        <w:spacing w:after="40"/>
      </w:pPr>
      <w:r>
        <w:rPr>
          <w:rFonts w:ascii="Sora" w:hAnsi="Sora"/>
          <w:b w:val="0"/>
          <w:caps w:val="0"/>
          <w:color w:val="828282"/>
          <w:sz w:val="21"/>
        </w:rPr>
        <w:t>advancell.com.au   ·   Series D   ·   Boston, MA   ·   Ally Bridge Group(Andrew Lam), Alpha Wave Global(Nik Economopoulos)</w:t>
      </w:r>
    </w:p>
    <w:p>
      <w:pPr>
        <w:spacing w:after="200"/>
      </w:pPr>
      <w:r>
        <w:rPr>
          <w:rFonts w:ascii="Sora" w:hAnsi="Sora"/>
          <w:b w:val="0"/>
          <w:caps w:val="0"/>
          <w:color w:val="828282"/>
          <w:sz w:val="18"/>
        </w:rPr>
        <w:t>Screened 2026-07-20</w:t>
      </w: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8"/>
        </w:rPr>
        <w:t>FIT ASSESSMENT</w:t>
      </w:r>
    </w:p>
    <w:p>
      <w:pPr>
        <w:spacing w:before="120" w:after="240"/>
      </w:pPr>
      <w:r>
        <w:rPr>
          <w:rFonts w:ascii="Roboto Serif" w:hAnsi="Roboto Serif"/>
          <w:b/>
          <w:caps w:val="0"/>
          <w:color w:val="1A1A1A"/>
          <w:sz w:val="32"/>
        </w:rPr>
        <w:t>2.9 / 4.0</w:t>
      </w:r>
      <w:r>
        <w:rPr>
          <w:rFonts w:ascii="Sora" w:hAnsi="Sora"/>
          <w:b w:val="0"/>
          <w:caps w:val="0"/>
          <w:color w:val="828282"/>
          <w:sz w:val="21"/>
        </w:rPr>
        <w:t xml:space="preserve">   (raw 2.9)</w:t>
      </w:r>
      <w:r>
        <w:rPr>
          <w:rFonts w:ascii="Sora" w:hAnsi="Sora"/>
          <w:b w:val="0"/>
          <w:caps w:val="0"/>
          <w:color w:val="828282"/>
          <w:sz w:val="21"/>
        </w:rPr>
        <w:t xml:space="preserve">   —   MORE DILIGENCE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66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Dimension</w:t>
            </w:r>
          </w:p>
        </w:tc>
        <w:tc>
          <w:tcPr>
            <w:tcW w:type="dxa" w:w="792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Score</w:t>
            </w:r>
          </w:p>
        </w:tc>
        <w:tc>
          <w:tcPr>
            <w:tcW w:type="dxa" w:w="5904"/>
            <w:shd w:val="clear" w:color="auto" w:fill="1A1A1A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r>
              <w:rPr>
                <w:rFonts w:ascii="Sora" w:hAnsi="Sora"/>
                <w:b/>
                <w:caps/>
                <w:color w:val="FFFFFF"/>
                <w:sz w:val="18"/>
              </w:rPr>
              <w:t>Evidence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Lead / Round Dynamics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2.4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Round is large late-stage financing with Tier1 and strategic investors participating, but lead identity, new-money status, and insider participation remain unclear from current coverage.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Founder / Team Quality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3.3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Founders have exceptional frontier-AI credentials and complementary technical backgrounds, but team scaling, recruiting depth, and broader executive bench are not yet well evidenced publicly.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AI Score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Reflection AI appears to be a pure-play frontier-model lab with proprietary architectures and data pipelines, yielding a strong though still-early structural AI moat.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Terms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3.0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No adverse information on fee, carry, or SPV structure is public, so terms are assumed close to standard co-invest economics pending further verification.</w:t>
            </w:r>
          </w:p>
        </w:tc>
      </w:tr>
      <w:tr>
        <w:tc>
          <w:tcPr>
            <w:tcW w:type="dxa" w:w="266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Fundamentals</w:t>
            </w:r>
          </w:p>
        </w:tc>
        <w:tc>
          <w:tcPr>
            <w:tcW w:type="dxa" w:w="792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2.5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5F5F5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Financial metrics are almost entirely undisclosed; fundamentals must be inferred from valuation scale, strategic investor interest, and the large global AI and sovereign-model market opportunity.</w:t>
            </w:r>
          </w:p>
        </w:tc>
      </w:tr>
      <w:tr>
        <w:tc>
          <w:tcPr>
            <w:tcW w:type="dxa" w:w="266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1A1A1A"/>
                <w:sz w:val="19"/>
              </w:rPr>
              <w:t>Return Potential</w:t>
            </w:r>
          </w:p>
        </w:tc>
        <w:tc>
          <w:tcPr>
            <w:tcW w:type="dxa" w:w="792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/>
                <w:caps w:val="0"/>
                <w:color w:val="1A1A1A"/>
                <w:sz w:val="19"/>
              </w:rPr>
              <w:t>2.8</w:t>
            </w:r>
            <w:r>
              <w:rPr>
                <w:rFonts w:ascii="Sora" w:hAnsi="Sora"/>
                <w:b w:val="0"/>
                <w:caps w:val="0"/>
                <w:color w:val="828282"/>
                <w:sz w:val="17"/>
              </w:rPr>
              <w:t xml:space="preserve"> / 4</w:t>
            </w:r>
          </w:p>
        </w:tc>
        <w:tc>
          <w:tcPr>
            <w:tcW w:type="dxa" w:w="59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  <w:tcBorders>
              <w:top w:val="nil"/>
              <w:left w:val="nil"/>
              <w:right w:val="nil"/>
              <w:bottom w:val="single" w:sz="4" w:color="E4DFD5"/>
            </w:tcBorders>
          </w:tcPr>
          <w:p>
            <w:r>
              <w:rPr>
                <w:rFonts w:ascii="Sora" w:hAnsi="Sora"/>
                <w:b w:val="0"/>
                <w:caps w:val="0"/>
                <w:color w:val="3C3C3C"/>
                <w:sz w:val="18"/>
              </w:rPr>
              <w:t>Despite high entry valuation, the enormous TAM and potential IPO or strategic exit support venture-scale upside, though modeled MOIC, dilution, and timelines remain heavily assumption-driven.</w:t>
            </w:r>
          </w:p>
        </w:tc>
      </w:tr>
    </w:tbl>
    <w:p>
      <w:pPr>
        <w:spacing w:after="160"/>
      </w:pPr>
    </w:p>
    <w:p>
      <w:pPr>
        <w:spacing w:after="120"/>
        <w:pBdr>
          <w:bottom w:val="single" w:sz="6" w:color="1A1A1A" w:space="4"/>
        </w:pBdr>
      </w:pPr>
      <w:r>
        <w:rPr>
          <w:rFonts w:ascii="Roboto Serif" w:hAnsi="Roboto Serif"/>
          <w:b/>
          <w:caps w:val="0"/>
          <w:color w:val="1A1A1A"/>
          <w:sz w:val="24"/>
        </w:rPr>
        <w:t>RATIONALE</w:t>
      </w:r>
    </w:p>
    <w:p>
      <w:pPr>
        <w:spacing w:before="120" w:after="120"/>
        <w:jc w:val="both"/>
      </w:pPr>
      <w:r>
        <w:rPr>
          <w:rFonts w:ascii="Sora" w:hAnsi="Sora"/>
          <w:b w:val="0"/>
          <w:caps w:val="0"/>
          <w:color w:val="1A1A1A"/>
          <w:sz w:val="21"/>
        </w:rPr>
        <w:t>Reflection AI aligns with ID8's AI thesis as a pure-play frontier lab, but lead investor identity, new-money Tier1 status, and economics remain unverified. Team and moat are compelling; fundamentals, valuation multiples, and co-invest access need deeper diligence.</w:t>
      </w:r>
    </w:p>
    <w:p>
      <w:pPr>
        <w:spacing w:before="80"/>
      </w:pPr>
      <w:r>
        <w:rPr>
          <w:rFonts w:ascii="Sora" w:hAnsi="Sora"/>
          <w:b w:val="0"/>
          <w:caps w:val="0"/>
          <w:color w:val="828282"/>
          <w:sz w:val="18"/>
        </w:rPr>
        <w:t>Confidence: low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ora" w:hAnsi="Sora"/>
        <w:b w:val="0"/>
        <w:caps w:val="0"/>
        <w:color w:val="828282"/>
        <w:sz w:val="17"/>
      </w:rPr>
      <w:t xml:space="preserve">Page </w:t>
    </w:r>
    <w:fldChar w:fldCharType="begin"/>
    <w:instrText xml:space="preserve"> PAGE </w:instrText>
    <w:fldChar w:fldCharType="end"/>
    <w:r>
      <w:rPr>
        <w:rFonts w:ascii="Sora" w:hAnsi="Sora"/>
        <w:b w:val="0"/>
        <w:caps w:val="0"/>
        <w:color w:val="828282"/>
        <w:sz w:val="17"/>
      </w:rPr>
      <w:t xml:space="preserve"> of </w:t>
    </w:r>
    <w:fldChar w:fldCharType="begin"/>
    <w:instrText xml:space="preserve"> NUMPAGES </w:instrText>
    <w:fldChar w:fldCharType="end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440"/>
      <w:gridCol w:w="7920"/>
    </w:tblGrid>
    <w:tr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594360" cy="5872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d8_charcoal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" cy="5872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il"/>
            <w:left w:val="nil"/>
            <w:right w:val="nil"/>
            <w:bottom w:val="single" w:sz="4" w:color="1A1A1A"/>
          </w:tcBorders>
        </w:tcPr>
        <w:p>
          <w:pPr>
            <w:spacing w:before="80"/>
            <w:jc w:val="right"/>
          </w:pPr>
          <w:r>
            <w:rPr>
              <w:rFonts w:ascii="Sora" w:hAnsi="Sora"/>
              <w:b w:val="0"/>
              <w:caps/>
              <w:color w:val="828282"/>
              <w:sz w:val="16"/>
            </w:rPr>
            <w:t>DEAL SCREEN  ·  ID8 INVESTMENTS  ·  CONFIDENTIAL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ra" w:hAnsi="Sor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