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Etched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etched.com   ·   Series C   ·   San Jose, CA   ·   Sequoia Capital(Sonya Huang)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2.8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2.8)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MORE DILIGENCE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2.9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New-money Tier 1+ Sequoia leads a clean Series C amid strong inferred momentum, though lack of prior Tier 1s and unclear insider follow-on soften the overall round signal.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Founder / Team Quality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Experienced, domain-strong founding and technical team with complementary skills and visible recruiting and public profiles, albeit without a prior major exit and with no integrity concerns identified.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Etched provides specialized transformer inference hardware integral to large-model AI workloads, without owning models or demonstrating a strong usage-driven data flywheel.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Round economics appear standard from available coverage, with no visible indication of fee-heavy structures or other adverse co-investor terms beyond typical preferred equity.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2.6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Strong transformer ASIC moat and large AI hardware TAM offset missing financial metrics, leaving the $10.3B valuation aggressive but broadly in line with leading specialized AI chip startups.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2.8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Return potential is meaningful given massive AI infrastructure upside and credible IPO or M&amp;A paths, but high entry valuation, unmodeled dilution, and unclear downside terms constrain conviction.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Etched fits ID8’s thesis as a new-money Tier 1+ Sequoia-led Series C in core AI infrastructure, with strong technical moat but thin disclosed financials. High entry valuation and hardware execution risk lower but do not negate attractive return prospects.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