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Roboto Serif" w:hAnsi="Roboto Serif"/>
          <w:b/>
          <w:caps w:val="0"/>
          <w:color w:val="1A1A1A"/>
          <w:sz w:val="44"/>
        </w:rPr>
        <w:t>Higharc</w:t>
      </w:r>
    </w:p>
    <w:p>
      <w:pPr>
        <w:spacing w:after="40"/>
      </w:pPr>
      <w:r>
        <w:rPr>
          <w:rFonts w:ascii="Sora" w:hAnsi="Sora"/>
          <w:b w:val="0"/>
          <w:caps w:val="0"/>
          <w:color w:val="828282"/>
          <w:sz w:val="21"/>
        </w:rPr>
        <w:t>higharc.com   ·   Series C   ·   Durham, NC   ·   Insight Partners (New York)(Joshua Fredberg)</w:t>
      </w:r>
    </w:p>
    <w:p>
      <w:pPr>
        <w:spacing w:after="200"/>
      </w:pPr>
      <w:r>
        <w:rPr>
          <w:rFonts w:ascii="Sora" w:hAnsi="Sora"/>
          <w:b w:val="0"/>
          <w:caps w:val="0"/>
          <w:color w:val="828282"/>
          <w:sz w:val="18"/>
        </w:rPr>
        <w:t>Screened 2026-07-06</w:t>
      </w:r>
    </w:p>
    <w:p>
      <w:pPr>
        <w:spacing w:after="120"/>
        <w:pBdr>
          <w:bottom w:val="single" w:sz="6" w:color="1A1A1A" w:space="4"/>
        </w:pBdr>
      </w:pPr>
      <w:r>
        <w:rPr>
          <w:rFonts w:ascii="Roboto Serif" w:hAnsi="Roboto Serif"/>
          <w:b/>
          <w:caps w:val="0"/>
          <w:color w:val="1A1A1A"/>
          <w:sz w:val="28"/>
        </w:rPr>
        <w:t>FIT ASSESSMENT</w:t>
      </w:r>
    </w:p>
    <w:p>
      <w:pPr>
        <w:spacing w:before="120" w:after="240"/>
      </w:pPr>
      <w:r>
        <w:rPr>
          <w:rFonts w:ascii="Roboto Serif" w:hAnsi="Roboto Serif"/>
          <w:b/>
          <w:caps w:val="0"/>
          <w:color w:val="1A1A1A"/>
          <w:sz w:val="32"/>
        </w:rPr>
        <w:t>2.9 / 4.0</w:t>
      </w:r>
      <w:r>
        <w:rPr>
          <w:rFonts w:ascii="Sora" w:hAnsi="Sora"/>
          <w:b w:val="0"/>
          <w:caps w:val="0"/>
          <w:color w:val="828282"/>
          <w:sz w:val="21"/>
        </w:rPr>
        <w:t xml:space="preserve">   (raw 2.8)</w:t>
      </w:r>
      <w:r>
        <w:rPr>
          <w:rFonts w:ascii="Sora" w:hAnsi="Sora"/>
          <w:b w:val="0"/>
          <w:caps w:val="0"/>
          <w:color w:val="828282"/>
          <w:sz w:val="21"/>
        </w:rPr>
        <w:t xml:space="preserve">   —   MORE DILIGENCE</w:t>
      </w:r>
    </w:p>
    <w:tbl>
      <w:tblPr>
        <w:tblW w:type="auto" w:w="0"/>
        <w:tblLayout w:type="fixed"/>
        <w:tblLook w:firstColumn="1" w:firstRow="1" w:lastColumn="0" w:lastRow="0" w:noHBand="0" w:noVBand="1" w:val="04A0"/>
      </w:tblPr>
      <w:tblGrid>
        <w:gridCol w:w="3120"/>
        <w:gridCol w:w="3120"/>
        <w:gridCol w:w="3120"/>
      </w:tblGrid>
      <w:tr>
        <w:tc>
          <w:tcPr>
            <w:tcW w:type="dxa" w:w="2664"/>
            <w:shd w:val="clear" w:color="auto" w:fill="1A1A1A"/>
            <w:tcMar>
              <w:top w:w="40" w:type="dxa"/>
              <w:bottom w:w="40" w:type="dxa"/>
              <w:left w:w="60" w:type="dxa"/>
              <w:right w:w="60" w:type="dxa"/>
            </w:tcMar>
          </w:tcPr>
          <w:p>
            <w:r>
              <w:rPr>
                <w:rFonts w:ascii="Sora" w:hAnsi="Sora"/>
                <w:b/>
                <w:caps/>
                <w:color w:val="FFFFFF"/>
                <w:sz w:val="18"/>
              </w:rPr>
              <w:t>Dimension</w:t>
            </w:r>
          </w:p>
        </w:tc>
        <w:tc>
          <w:tcPr>
            <w:tcW w:type="dxa" w:w="792"/>
            <w:shd w:val="clear" w:color="auto" w:fill="1A1A1A"/>
            <w:tcMar>
              <w:top w:w="40" w:type="dxa"/>
              <w:bottom w:w="40" w:type="dxa"/>
              <w:left w:w="60" w:type="dxa"/>
              <w:right w:w="60" w:type="dxa"/>
            </w:tcMar>
          </w:tcPr>
          <w:p>
            <w:r>
              <w:rPr>
                <w:rFonts w:ascii="Sora" w:hAnsi="Sora"/>
                <w:b/>
                <w:caps/>
                <w:color w:val="FFFFFF"/>
                <w:sz w:val="18"/>
              </w:rPr>
              <w:t>Score</w:t>
            </w:r>
          </w:p>
        </w:tc>
        <w:tc>
          <w:tcPr>
            <w:tcW w:type="dxa" w:w="5904"/>
            <w:shd w:val="clear" w:color="auto" w:fill="1A1A1A"/>
            <w:tcMar>
              <w:top w:w="40" w:type="dxa"/>
              <w:bottom w:w="40" w:type="dxa"/>
              <w:left w:w="60" w:type="dxa"/>
              <w:right w:w="60" w:type="dxa"/>
            </w:tcMar>
          </w:tcPr>
          <w:p>
            <w:r>
              <w:rPr>
                <w:rFonts w:ascii="Sora" w:hAnsi="Sora"/>
                <w:b/>
                <w:caps/>
                <w:color w:val="FFFFFF"/>
                <w:sz w:val="18"/>
              </w:rPr>
              <w:t>Evidence</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Lead / Round Dynamics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 announced a $95M Series C round led by Insight Partners, a Tier 1 firm on the rubric’s list, with participation from Wellington Management, Fifth Wall, Spark Capital, Lux Capital, SE Ventures and others.[4][5][8] This is a Series C (B+), clearly new-money institutional lead; geography (Durham, NC) is within mandate.[4][6] Tier 1 lead at Series C fits the Score 3 anchor (Tier 1, not Tier 1+), and there is no indication that Insight is domain-strategic in homebuilding (financial investor, not an operator).</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Founder / Team Quality</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 was founded by CEO Marc Breiner and a team including technologists from Google and Autodesk and experienced homebuilding operators (reported in prior coverage; current Series C materials emphasize combining software veterans with industry experts).[5][8] The company has scaled to partner with major industry players like US LBM and large production builders, implying credible execution and recruiting capability, but there is no public evidence of prior $100M+ ARR exits by the founders, so this fits the ‘first-time founder with elite/strong tech + domain complement’ Score 3 anchor rather than a proven-serial-exit Score 4.[5][3]</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Fundamentals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The Series C is $95M, bringing total funding to more than $170M, signaling meaningful traction and investor confidence.[4][6][1] Public sources describe Higharc as working with mid-market and large production homebuilders that collectively build 800,000+ homes annually, and expanding into the materials supply chain via US LBM, suggesting growing commercial adoption and a real moat around spatial data and workflows.[1][3][5] However, no hard metrics for ARR, growth rate, NDR, LTV/CAC, or burn are disclosed in press or investor coverage — all key financials are [NOT PUBLIC] — so per rubric these fundamentals must cap at 2, with the score reflecting a data gap rather than confirmed weak numbers.[1][4][6]</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Return Potential</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 targets production homebuilders and now building-materials suppliers, addressing a very large TAM (U.S. production builders construct 800k+ homes annually, with significant software and materials spend tied to design, estimating, and construction workflows).[1][3][5] The product replaces multiple legacy tools (CAD, plan management, buyer config, estimating, construction docs) with an integrated AI-native platform, suggesting potential for deep wallet share and high switching costs.[1][5] At a $95M Series C with $170M+ raised, valuation will be later-stage but not obviously out of line for a vertical AI infrastructure/platform play; this supports a reasonable path to venture-scale outcomes (3–6x MOIC / 20–30% IRR) if it continues to scale across builders and the supply chain, but without revenue multiples or entry valuation disclosed we cannot underwrite a 6x base case, so this fits the Score 3 anchor rather than 4.[1][3][5]</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AI Score</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4</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 xml:space="preserve">Higharc describes itself as “the homebuilding AI company for the full design-to-construction lifecycle” and positions its core technology as </w:t>
            </w:r>
            <w:r>
              <w:rPr>
                <w:rFonts w:ascii="Sora" w:hAnsi="Sora"/>
                <w:b/>
                <w:caps w:val="0"/>
                <w:color w:val="3C3C3C"/>
                <w:sz w:val="18"/>
              </w:rPr>
              <w:t>spatial AI</w:t>
            </w:r>
            <w:r>
              <w:rPr>
                <w:rFonts w:ascii="Sora" w:hAnsi="Sora"/>
                <w:b w:val="0"/>
                <w:caps w:val="0"/>
                <w:color w:val="3C3C3C"/>
                <w:sz w:val="18"/>
              </w:rPr>
              <w:t xml:space="preserve"> models trained to understand physical spaces, automating complex workflows across building design, 3D modeling, estimating, sales and construction documentation.[4][5] The AutoTranslate AI ingests 2D floor plans, converts them into 3D spatial models, and generates precise material takeoffs aligned with US LBM’s catalog, which indicates a proprietary data flywheel (plans, materials, builder configurations) and domain-specific models not trivially replicated by generic LLM updates.[3][5] The platform’s moat is explicitly the spatial AI architecture and structured 3D data, powering end-to-end workflows for a regulated, complex industry (homebuilding), so this fits the pure-play AI / defensible architecture Score 4 anchor rather than a mere feature-layer use of AI.[1][4][5]</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Terms</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Public coverage and the company’s own press release describe the round but do not disclose SPV structures, carry, upfront fees, or information rights for potential co-investors — these terms are [NOT PUBLIC].[4][6][5] Given it is a standard venture-led primary Series C with Insight Partners and other institutional investors, it is reasonable to assume terms fall within typical late-stage VC norms (no recurring management fee at the company level, standard preferred equity), but without specific co-invest/SPV economics we must avoid assuming 0/0/10 and land on the data-gap anchor; per rubric, missing deal-structure details maps more conservatively to Score 2 rather than 3.[4][5]</w:t>
            </w:r>
          </w:p>
        </w:tc>
      </w:tr>
    </w:tbl>
    <w:p>
      <w:pPr>
        <w:spacing w:after="160"/>
      </w:pPr>
    </w:p>
    <w:p>
      <w:pPr>
        <w:spacing w:after="120"/>
        <w:pBdr>
          <w:bottom w:val="single" w:sz="6" w:color="1A1A1A" w:space="4"/>
        </w:pBdr>
      </w:pPr>
      <w:r>
        <w:rPr>
          <w:rFonts w:ascii="Roboto Serif" w:hAnsi="Roboto Serif"/>
          <w:b/>
          <w:caps w:val="0"/>
          <w:color w:val="1A1A1A"/>
          <w:sz w:val="24"/>
        </w:rPr>
        <w:t>RATIONALE</w:t>
      </w:r>
    </w:p>
    <w:p>
      <w:pPr>
        <w:spacing w:before="120" w:after="120"/>
        <w:jc w:val="both"/>
      </w:pPr>
      <w:r>
        <w:rPr>
          <w:rFonts w:ascii="Sora" w:hAnsi="Sora"/>
          <w:b w:val="0"/>
          <w:caps w:val="0"/>
          <w:color w:val="1A1A1A"/>
          <w:sz w:val="21"/>
        </w:rPr>
        <w:t>Higharc is a Durham, NC-based homebuilding AI platform that has just raised a $95M Series C led by Insight Partners, a Tier 1 VC, with broad participation from sector-savvy funds, squarely within ID8’s geography and stage mandate.[4][5][6] The deal broadly aligns with ID8’s thesis: it is a B+ round with a new-money Tier 1 lead, structural AI at the core of the moat (spatial AI and AutoTranslate driving design-to-construction workflows), and a large, under-digitized market in production homebuilding and materials supply.[1][3][4][5] The main caveat is fundamentals and terms: key financial metrics and co-invest economics are not publicly disclosed, so the fit verdict rests on strong qualitative and investor signals rather than hard numbers, suggesting further deep-dive diligence before commitment.</w:t>
      </w:r>
    </w:p>
    <w:p>
      <w:pPr>
        <w:spacing w:before="80"/>
      </w:pPr>
      <w:r>
        <w:rPr>
          <w:rFonts w:ascii="Sora" w:hAnsi="Sora"/>
          <w:b w:val="0"/>
          <w:caps w:val="0"/>
          <w:color w:val="828282"/>
          <w:sz w:val="18"/>
        </w:rPr>
        <w:t>Confidence: medium</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ra" w:hAnsi="Sora"/>
        <w:b w:val="0"/>
        <w:caps w:val="0"/>
        <w:color w:val="828282"/>
        <w:sz w:val="17"/>
      </w:rPr>
      <w:t xml:space="preserve">Page </w:t>
    </w:r>
    <w:fldChar w:fldCharType="begin"/>
    <w:instrText xml:space="preserve"> PAGE </w:instrText>
    <w:fldChar w:fldCharType="end"/>
    <w:r>
      <w:rPr>
        <w:rFonts w:ascii="Sora" w:hAnsi="Sora"/>
        <w:b w:val="0"/>
        <w:caps w:val="0"/>
        <w:color w:val="828282"/>
        <w:sz w:val="17"/>
      </w:rPr>
      <w:t xml:space="preserve"> of </w:t>
    </w:r>
    <w:fldChar w:fldCharType="begin"/>
    <w:instrText xml:space="preserve"> NUMPAGES </w:instrText>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440"/>
      <w:gridCol w:w="7920"/>
    </w:tblGrid>
    <w:tr>
      <w:tc>
        <w:tcPr>
          <w:tcW w:type="dxa" w:w="4680"/>
          <w:tcBorders>
            <w:top w:val="nil"/>
            <w:left w:val="nil"/>
            <w:right w:val="nil"/>
            <w:bottom w:val="single" w:sz="4" w:color="1A1A1A"/>
          </w:tcBorders>
        </w:tcPr>
        <w:p>
          <w:r>
            <w:drawing>
              <wp:inline xmlns:a="http://schemas.openxmlformats.org/drawingml/2006/main" xmlns:pic="http://schemas.openxmlformats.org/drawingml/2006/picture">
                <wp:extent cx="594360" cy="58725"/>
                <wp:docPr id="1" name="Picture 1"/>
                <wp:cNvGraphicFramePr>
                  <a:graphicFrameLocks noChangeAspect="1"/>
                </wp:cNvGraphicFramePr>
                <a:graphic>
                  <a:graphicData uri="http://schemas.openxmlformats.org/drawingml/2006/picture">
                    <pic:pic>
                      <pic:nvPicPr>
                        <pic:cNvPr id="0" name="id8_charcoal.png"/>
                        <pic:cNvPicPr/>
                      </pic:nvPicPr>
                      <pic:blipFill>
                        <a:blip r:embed="rId1"/>
                        <a:stretch>
                          <a:fillRect/>
                        </a:stretch>
                      </pic:blipFill>
                      <pic:spPr>
                        <a:xfrm>
                          <a:off x="0" y="0"/>
                          <a:ext cx="594360" cy="58725"/>
                        </a:xfrm>
                        <a:prstGeom prst="rect"/>
                      </pic:spPr>
                    </pic:pic>
                  </a:graphicData>
                </a:graphic>
              </wp:inline>
            </w:drawing>
          </w:r>
        </w:p>
      </w:tc>
      <w:tc>
        <w:tcPr>
          <w:tcW w:type="dxa" w:w="4680"/>
          <w:tcBorders>
            <w:top w:val="nil"/>
            <w:left w:val="nil"/>
            <w:right w:val="nil"/>
            <w:bottom w:val="single" w:sz="4" w:color="1A1A1A"/>
          </w:tcBorders>
        </w:tcPr>
        <w:p>
          <w:pPr>
            <w:spacing w:before="80"/>
            <w:jc w:val="right"/>
          </w:pPr>
          <w:r>
            <w:rPr>
              <w:rFonts w:ascii="Sora" w:hAnsi="Sora"/>
              <w:b w:val="0"/>
              <w:caps/>
              <w:color w:val="828282"/>
              <w:sz w:val="16"/>
            </w:rPr>
            <w:t>DEAL SCREEN  ·  ID8 INVESTMENTS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ra" w:hAnsi="Sor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