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Digital Asset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digitalasset.com   ·   Series F   ·   New York, NY   ·   Andreessen Horowitz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2026-07-20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40"/>
      </w:pPr>
      <w:r>
        <w:rPr>
          <w:rFonts w:ascii="Roboto Serif" w:hAnsi="Roboto Serif"/>
          <w:b/>
          <w:caps w:val="0"/>
          <w:color w:val="1A1A1A"/>
          <w:sz w:val="32"/>
        </w:rPr>
        <w:t>2.5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2.5)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PASS — HARD AUTO-PASS</w:t>
      </w:r>
    </w:p>
    <w:p>
      <w:pPr>
        <w:spacing w:after="240"/>
      </w:pPr>
      <w:r>
        <w:rPr>
          <w:rFonts w:ascii="Sora" w:hAnsi="Sora"/>
          <w:b w:val="0"/>
          <w:caps w:val="0"/>
          <w:color w:val="3C3C3C"/>
          <w:sz w:val="19"/>
        </w:rPr>
        <w:t>Hard auto-pass: No AI component — AI Score bottom anchor hard auto-pass.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2.6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New-money Tier 1 lead from a16z crypto at a large strategic late-stage round, though insider follow-on participation remains unclear from public data.[3][10][14]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Founder / Team Quality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3.2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Experienced capital-markets and technology leaders with strong public presence and global team footprint, but no prior founder exits verified, limiting confidence in repeat entrepreneurial execution.[5][17][18]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1.0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Digital Asset’s moat is privacy-enabled blockchain infrastructure and smart contracts for capital markets, with no proprietary AI models, placing it outside ID8’s AI-focused mandate.[1][2][16]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No public indication of elevated fees, carry, or complex SPV structures, so investment terms are assumed baseline and do not uniquely disadvantage co-investors.[3][11][12]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2.5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Enterprise traction and structural differentiation via the Canton network and DAML appear strong, but revenue, growth, margins, burn, and valuation multiples remain undisclosed, limiting assessment.[1][2][16][14]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2.5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Strategic positioning in institutional digital-asset infrastructure and active secondary trading support plausible IPO or M&amp;A exit, yet undisclosed valuation and unmodelled growth make projections uncertain.[3][7][20]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Digital Asset shows strong institutional validation and structural blockchain moat, but key financial metrics and return modelling remain opaque. Despite new-money Tier 1 leadership from a16z, the absence of a meaningful AI component breaks ID8’s AI-focused thesis and triggers auto-pass.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medium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