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Braintrust (Software Development Applications)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2026-07-09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3.6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3.5)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CLEARS GATE · STRONG 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Braintrust is headquartered in San Francisco, CA, putting it squarely within the North America mandate.[2] The company raised an $80M Series B round led by ICONIQ Capital at an $800M valuation, with prior investors Andreessen Horowitz and Greylock participating; ICONIQ is a Tier 1+ fund and this is new money at Series B, matching the 4-anchor for a new-money Tier 1+ lead at Series B+.[2][3][4]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Braintrust was founded by Ankur Goyal, previously a senior product leader at Rubrik and a founding engineer at Figma (per press and prior interviews referenced in funding coverage), indicating deep domain authority in enterprise software and data infrastructure.[2][3] The cap table includes elite investors Andreessen Horowitz, Greylock, Elad Gil, and basecase capital, which is a strong signal of team quality and the ability to recruit top talent; headcount growth and public hiring further reinforce execution capacity.[2][3][7]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Braintrust’s $80M Series B at an $800M valuation follows a $36M Series A led by Andreessen Horowitz at a $150M valuation in 2024, implying more than a 5x valuation step-up in roughly ~2 years, which strongly suggests rapid revenue and customer growth even though ARR is not publicly disclosed.[1][3][7] Given the scale of funding ($124.89M total raised to date) and positioning as core AI infrastructure for enterprise teams, an [ESTIMATED] ARR range in the mid‑20M+ with high growth is reasonable based on comps for similar AI infra companies at ~$800M valuation; absent precise metrics, this supports a Fundamentals score of 3 rather than 4 and caps diligence confidence at MEDIUM.[2][3][5]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Entry at roughly an $800M post-money valuation for a leading AI observability/infrastructure platform in a rapidly expanding market implies a plausible 3–6x MOIC in the base case if Braintrust can grow into a multi‑billion‑dollar exit, in line with other successful AI infra and devtools outcomes; however, competitive intensity and the relatively high Series B valuation make 6x+ more of a disciplined base‑case stretch than a given.[1][2][3] The presence of ICONIQ, a16z, and Greylock on the cap table supports access to large later-stage rounds and eventual IPO, providing a clear exit path, but not enough data is available on revenue or margins to justify a 4 anchored on 6x+ as base case.[2][3][5]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Braintrust explicitly positions itself as an AI observability platform and infrastructure layer for teams building and scaling AI products in production, capturing multi‑step agent interactions and intermediate reasoning data; the core value prop is monitoring, evaluating, and improving AI systems rather than generic software analytics.[2][3][4][6] This is pure-play AI infrastructure with a proprietary data and workflow moat around production AI behavior, not a thin feature on top of foundation models, and would be difficult to replicate as a simple plugin to Claude/GPT/Gemini without losing deep observability and evaluation functionality.[2][3][6]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Public coverage of the $80M Series B provides round size, lead investor, and valuation but does not disclose co-invest/SPV economics (carry, upfront fees, management fees), so there is no evidence of non-standard or punitive terms.[1][2][3][4] In the absence of any indication of recurring management fees or abnormally high carry, the most reasonable assumption at this stage is standard growth-round co-invest terms roughly equivalent to ID8’s 0/0/10 baseline, which maps to a score of 3 while acknowledging that exact economics are [NOT PUBLIC].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Braintrust is a San Francisco–based pure-play AI observability and infrastructure company that squarely fits ID8’s geography and stage mandate, with an $80M Series B led by Tier 1+ ICONIQ Capital and prior backing from Andreessen Horowitz and Greylock.[2][3][4] The deal aligns tightly with ID8’s thesis: new-money Tier 1+ lead at Series B, a structurally AI-driven moat around production AI evaluation and observability, and a strong founding team with elite investors on the cap table.[2][3] Fundamentals and return potential look solid but not yet definitively in the 6x-base-case zone given limited disclosed financials, suggesting a directionally attractive Series B co-invest that merits deeper diligence rather than an automatic top-tier score on growth and unit economics.[1][2][3][5]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