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Roboto Serif" w:hAnsi="Roboto Serif"/>
          <w:b/>
          <w:caps w:val="0"/>
          <w:color w:val="1A1A1A"/>
          <w:sz w:val="44"/>
        </w:rPr>
        <w:t>Ollin</w:t>
      </w:r>
    </w:p>
    <w:p>
      <w:pPr>
        <w:spacing w:after="40"/>
      </w:pPr>
      <w:r>
        <w:rPr>
          <w:rFonts w:ascii="Sora" w:hAnsi="Sora"/>
          <w:b w:val="0"/>
          <w:caps w:val="0"/>
          <w:color w:val="828282"/>
          <w:sz w:val="21"/>
        </w:rPr>
        <w:t>ollin.bio   ·   Series B   ·   Austin, TX   ·   ARCH Venture Partners, TCG Crossover Management(Cariad Chester)</w:t>
      </w:r>
    </w:p>
    <w:p>
      <w:pPr>
        <w:spacing w:after="200"/>
      </w:pPr>
      <w:r>
        <w:rPr>
          <w:rFonts w:ascii="Sora" w:hAnsi="Sora"/>
          <w:b w:val="0"/>
          <w:caps w:val="0"/>
          <w:color w:val="828282"/>
          <w:sz w:val="18"/>
        </w:rPr>
        <w:t>Screened 2026-06-29</w:t>
      </w:r>
    </w:p>
    <w:p>
      <w:pPr>
        <w:spacing w:after="120"/>
        <w:pBdr>
          <w:bottom w:val="single" w:sz="6" w:color="1A1A1A" w:space="4"/>
        </w:pBdr>
      </w:pPr>
      <w:r>
        <w:rPr>
          <w:rFonts w:ascii="Roboto Serif" w:hAnsi="Roboto Serif"/>
          <w:b/>
          <w:caps w:val="0"/>
          <w:color w:val="1A1A1A"/>
          <w:sz w:val="28"/>
        </w:rPr>
        <w:t>FIT ASSESSMENT</w:t>
      </w:r>
    </w:p>
    <w:p>
      <w:pPr>
        <w:spacing w:before="120" w:after="240"/>
      </w:pPr>
      <w:r>
        <w:rPr>
          <w:rFonts w:ascii="Roboto Serif" w:hAnsi="Roboto Serif"/>
          <w:b/>
          <w:caps w:val="0"/>
          <w:color w:val="1A1A1A"/>
          <w:sz w:val="32"/>
        </w:rPr>
        <w:t>1.8 / 4.0</w:t>
      </w:r>
      <w:r>
        <w:rPr>
          <w:rFonts w:ascii="Sora" w:hAnsi="Sora"/>
          <w:b w:val="0"/>
          <w:caps w:val="0"/>
          <w:color w:val="828282"/>
          <w:sz w:val="21"/>
        </w:rPr>
        <w:t xml:space="preserve">   —   BELOW THRESHOLD</w:t>
      </w:r>
    </w:p>
    <w:tbl>
      <w:tblPr>
        <w:tblW w:type="auto" w:w="0"/>
        <w:tblLayout w:type="fixed"/>
        <w:tblLook w:firstColumn="1" w:firstRow="1" w:lastColumn="0" w:lastRow="0" w:noHBand="0" w:noVBand="1" w:val="04A0"/>
      </w:tblPr>
      <w:tblGrid>
        <w:gridCol w:w="3120"/>
        <w:gridCol w:w="3120"/>
        <w:gridCol w:w="3120"/>
      </w:tblGrid>
      <w:tr>
        <w:tc>
          <w:tcPr>
            <w:tcW w:type="dxa" w:w="2664"/>
            <w:shd w:val="clear" w:color="auto" w:fill="1A1A1A"/>
            <w:tcMar>
              <w:top w:w="40" w:type="dxa"/>
              <w:bottom w:w="40" w:type="dxa"/>
              <w:left w:w="60" w:type="dxa"/>
              <w:right w:w="60" w:type="dxa"/>
            </w:tcMar>
          </w:tcPr>
          <w:p>
            <w:r>
              <w:rPr>
                <w:rFonts w:ascii="Sora" w:hAnsi="Sora"/>
                <w:b/>
                <w:caps/>
                <w:color w:val="FFFFFF"/>
                <w:sz w:val="18"/>
              </w:rPr>
              <w:t>Dimension</w:t>
            </w:r>
          </w:p>
        </w:tc>
        <w:tc>
          <w:tcPr>
            <w:tcW w:type="dxa" w:w="792"/>
            <w:shd w:val="clear" w:color="auto" w:fill="1A1A1A"/>
            <w:tcMar>
              <w:top w:w="40" w:type="dxa"/>
              <w:bottom w:w="40" w:type="dxa"/>
              <w:left w:w="60" w:type="dxa"/>
              <w:right w:w="60" w:type="dxa"/>
            </w:tcMar>
          </w:tcPr>
          <w:p>
            <w:r>
              <w:rPr>
                <w:rFonts w:ascii="Sora" w:hAnsi="Sora"/>
                <w:b/>
                <w:caps/>
                <w:color w:val="FFFFFF"/>
                <w:sz w:val="18"/>
              </w:rPr>
              <w:t>Score</w:t>
            </w:r>
          </w:p>
        </w:tc>
        <w:tc>
          <w:tcPr>
            <w:tcW w:type="dxa" w:w="5904"/>
            <w:shd w:val="clear" w:color="auto" w:fill="1A1A1A"/>
            <w:tcMar>
              <w:top w:w="40" w:type="dxa"/>
              <w:bottom w:w="40" w:type="dxa"/>
              <w:left w:w="60" w:type="dxa"/>
              <w:right w:w="60" w:type="dxa"/>
            </w:tcMar>
          </w:tcPr>
          <w:p>
            <w:r>
              <w:rPr>
                <w:rFonts w:ascii="Sora" w:hAnsi="Sora"/>
                <w:b/>
                <w:caps/>
                <w:color w:val="FFFFFF"/>
                <w:sz w:val="18"/>
              </w:rPr>
              <w:t>Evidence</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Lead / Round Dynamics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Ollin Biosciences raised an oversubscribed $330M Series B financing co-led by ARCH Venture Partners and TCGX (TCG Crossover). ARCH is a founding/inside investor, while TCGX is a new investor joining the cap table, and the round includes a top-tier syndicate (T. Rowe Price accounts, Blackstone Multi-Asset Investing, RA Capital, Monograph Capital). This fits a near–top-tier new-money Series B+ with a top-tier syndicate, but not a clean single new-money Tier 1 lead, so Score 3 vs 4.[1][3][4][6]</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AI Score</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1</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Ollin is a clinical-stage biotech advancing therapies for retinal and vision-threatening diseases, focused on OLN324 for DME and wet AMD, with no mention of AI, machine learning, or computational drug discovery as part of the core product or platform in press releases or coverage.[1][3][4][5]</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Fundamentals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1</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Public information describes Ollin as a clinical-stage biotech preparing global Phase 3 trials of OLN324 and does not provide any commercial revenue, growth, NDR, LTV/CAC, or burn metrics; the company appears pre-revenue and focused on R&amp;D and clinical development.[1][3][5][6]</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Return Potential</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The $330M oversubscribed Series B to fund global Phase 3 programs in large-market indications (DME and wet AMD) with a strong blue-chip investor syndicate (ARCH, TCGX, T. Rowe Price, Blackstone MAI, RA Capital, Monograph) suggests significant upside if OLN324 succeeds, but with typical high binary risk of Phase 3 biotech outcomes and capital loss, aligning with &gt;3x potential with some risk of capital loss.[1][3][4][6]</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Terms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1</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No public information was found on SPV structure, carry, management fees, time horizon, or data access specific to this opportunity; only the company-side financing terms and investor list are disclosed, so there is no basis to assess ID8’s entry terms.[1][3][6]</w:t>
            </w:r>
          </w:p>
        </w:tc>
      </w:tr>
    </w:tbl>
    <w:p>
      <w:pPr>
        <w:spacing w:after="160"/>
      </w:pPr>
    </w:p>
    <w:p>
      <w:pPr>
        <w:spacing w:after="120"/>
        <w:pBdr>
          <w:bottom w:val="single" w:sz="6" w:color="1A1A1A" w:space="4"/>
        </w:pBdr>
      </w:pPr>
      <w:r>
        <w:rPr>
          <w:rFonts w:ascii="Roboto Serif" w:hAnsi="Roboto Serif"/>
          <w:b/>
          <w:caps w:val="0"/>
          <w:color w:val="1A1A1A"/>
          <w:sz w:val="24"/>
        </w:rPr>
        <w:t>RATIONALE</w:t>
      </w:r>
    </w:p>
    <w:p>
      <w:pPr>
        <w:spacing w:before="120" w:after="120"/>
        <w:jc w:val="both"/>
      </w:pPr>
      <w:r>
        <w:rPr>
          <w:rFonts w:ascii="Sora" w:hAnsi="Sora"/>
          <w:b w:val="0"/>
          <w:caps w:val="0"/>
          <w:color w:val="1A1A1A"/>
          <w:sz w:val="21"/>
        </w:rPr>
        <w:t>The deal passes both gates: it is a large Series B round and Ollin is headquartered in Austin, TX (North America), so it is in-scope.[1][3] It partially aligns with ID8’s thesis in that a Tier 1 crossover investor (TCGX) is joining as a new-money co-lead at Series B alongside existing Tier 1 ARCH, supported by a strong late-stage biotech syndicate, but it is not a clean single new-money Tier 1 lead. Overall fit is moderate: strong round dynamics and upside in a big ophthalmology market, but no AI component, limited visibility on fundamentals beyond being clinical-stage/pre-revenue, and no information on ID8-specific terms.</w:t>
      </w:r>
    </w:p>
    <w:p>
      <w:pPr>
        <w:spacing w:before="80"/>
      </w:pPr>
      <w:r>
        <w:rPr>
          <w:rFonts w:ascii="Sora" w:hAnsi="Sora"/>
          <w:b w:val="0"/>
          <w:caps w:val="0"/>
          <w:color w:val="828282"/>
          <w:sz w:val="18"/>
        </w:rPr>
        <w:t>Confidence: medium</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ra" w:hAnsi="Sora"/>
        <w:b w:val="0"/>
        <w:caps w:val="0"/>
        <w:color w:val="828282"/>
        <w:sz w:val="17"/>
      </w:rPr>
      <w:t xml:space="preserve">Page </w:t>
    </w:r>
    <w:fldChar w:fldCharType="begin"/>
    <w:instrText xml:space="preserve"> PAGE </w:instrText>
    <w:fldChar w:fldCharType="end"/>
    <w:r>
      <w:rPr>
        <w:rFonts w:ascii="Sora" w:hAnsi="Sora"/>
        <w:b w:val="0"/>
        <w:caps w:val="0"/>
        <w:color w:val="828282"/>
        <w:sz w:val="17"/>
      </w:rPr>
      <w:t xml:space="preserve"> of </w:t>
    </w:r>
    <w:fldChar w:fldCharType="begin"/>
    <w:instrText xml:space="preserve"> NUMPAGES </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440"/>
      <w:gridCol w:w="7920"/>
    </w:tblGrid>
    <w:tr>
      <w:tc>
        <w:tcPr>
          <w:tcW w:type="dxa" w:w="4680"/>
          <w:tcBorders>
            <w:top w:val="nil"/>
            <w:left w:val="nil"/>
            <w:right w:val="nil"/>
            <w:bottom w:val="single" w:sz="4" w:color="1A1A1A"/>
          </w:tcBorders>
        </w:tcPr>
        <w:p>
          <w:r>
            <w:drawing>
              <wp:inline xmlns:a="http://schemas.openxmlformats.org/drawingml/2006/main" xmlns:pic="http://schemas.openxmlformats.org/drawingml/2006/picture">
                <wp:extent cx="594360" cy="58725"/>
                <wp:docPr id="1" name="Picture 1"/>
                <wp:cNvGraphicFramePr>
                  <a:graphicFrameLocks noChangeAspect="1"/>
                </wp:cNvGraphicFramePr>
                <a:graphic>
                  <a:graphicData uri="http://schemas.openxmlformats.org/drawingml/2006/picture">
                    <pic:pic>
                      <pic:nvPicPr>
                        <pic:cNvPr id="0" name="id8_charcoal.png"/>
                        <pic:cNvPicPr/>
                      </pic:nvPicPr>
                      <pic:blipFill>
                        <a:blip r:embed="rId1"/>
                        <a:stretch>
                          <a:fillRect/>
                        </a:stretch>
                      </pic:blipFill>
                      <pic:spPr>
                        <a:xfrm>
                          <a:off x="0" y="0"/>
                          <a:ext cx="594360" cy="58725"/>
                        </a:xfrm>
                        <a:prstGeom prst="rect"/>
                      </pic:spPr>
                    </pic:pic>
                  </a:graphicData>
                </a:graphic>
              </wp:inline>
            </w:drawing>
          </w:r>
        </w:p>
      </w:tc>
      <w:tc>
        <w:tcPr>
          <w:tcW w:type="dxa" w:w="4680"/>
          <w:tcBorders>
            <w:top w:val="nil"/>
            <w:left w:val="nil"/>
            <w:right w:val="nil"/>
            <w:bottom w:val="single" w:sz="4" w:color="1A1A1A"/>
          </w:tcBorders>
        </w:tcPr>
        <w:p>
          <w:pPr>
            <w:spacing w:before="80"/>
            <w:jc w:val="right"/>
          </w:pPr>
          <w:r>
            <w:rPr>
              <w:rFonts w:ascii="Sora" w:hAnsi="Sora"/>
              <w:b w:val="0"/>
              <w:caps/>
              <w:color w:val="828282"/>
              <w:sz w:val="16"/>
            </w:rPr>
            <w:t>DEAL SCREEN  ·  ID8 INVESTMENTS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ra" w:hAnsi="Sor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