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Roboto Serif" w:hAnsi="Roboto Serif"/>
          <w:b/>
          <w:caps w:val="0"/>
          <w:color w:val="1A1A1A"/>
          <w:sz w:val="44"/>
        </w:rPr>
        <w:t>Helsing</w:t>
      </w:r>
    </w:p>
    <w:p>
      <w:pPr>
        <w:spacing w:after="40"/>
      </w:pPr>
      <w:r>
        <w:rPr>
          <w:rFonts w:ascii="Sora" w:hAnsi="Sora"/>
          <w:b w:val="0"/>
          <w:caps w:val="0"/>
          <w:color w:val="828282"/>
          <w:sz w:val="21"/>
        </w:rPr>
        <w:t>helsing.ai   ·   Series E   ·   Munich, Germany   ·   Dragoneer Investment Group, Lightspeed Venture Partners</w:t>
      </w:r>
    </w:p>
    <w:p>
      <w:pPr>
        <w:spacing w:after="200"/>
      </w:pPr>
      <w:r>
        <w:rPr>
          <w:rFonts w:ascii="Sora" w:hAnsi="Sora"/>
          <w:b w:val="0"/>
          <w:caps w:val="0"/>
          <w:color w:val="828282"/>
          <w:sz w:val="18"/>
        </w:rPr>
        <w:t>Screened 2026-07-14</w:t>
      </w: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8"/>
        </w:rPr>
        <w:t>FIT ASSESSMENT</w:t>
      </w:r>
    </w:p>
    <w:p>
      <w:pPr>
        <w:spacing w:before="120" w:after="240"/>
      </w:pPr>
      <w:r>
        <w:rPr>
          <w:rFonts w:ascii="Roboto Serif" w:hAnsi="Roboto Serif"/>
          <w:b/>
          <w:caps w:val="0"/>
          <w:color w:val="1A1A1A"/>
          <w:sz w:val="32"/>
        </w:rPr>
        <w:t>3.2 / 4.0</w:t>
      </w:r>
      <w:r>
        <w:rPr>
          <w:rFonts w:ascii="Sora" w:hAnsi="Sora"/>
          <w:b w:val="0"/>
          <w:caps w:val="0"/>
          <w:color w:val="828282"/>
          <w:sz w:val="21"/>
        </w:rPr>
        <w:t xml:space="preserve">   (raw 3.2)</w:t>
      </w:r>
      <w:r>
        <w:rPr>
          <w:rFonts w:ascii="Sora" w:hAnsi="Sora"/>
          <w:b w:val="0"/>
          <w:caps w:val="0"/>
          <w:color w:val="828282"/>
          <w:sz w:val="21"/>
        </w:rPr>
        <w:t xml:space="preserve">   —   CLEARS GATE · GO / IC REVIEW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6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Dimension</w:t>
            </w:r>
          </w:p>
        </w:tc>
        <w:tc>
          <w:tcPr>
            <w:tcW w:type="dxa" w:w="792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Score</w:t>
            </w:r>
          </w:p>
        </w:tc>
        <w:tc>
          <w:tcPr>
            <w:tcW w:type="dxa" w:w="590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Lead / Round Dynamics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4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New-money Tier1+/Tier1 co-leads in a large Series E with strong strategic participation and momentum justify a top score on round dynamics.[2][3][7][8][10]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Founder / Team Quality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4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Repeat-founder leadership with a prior meaningful exit, strong defence-domain credibility, high-quality investors and rapid execution pace support a top-tier founder/team score.[2][5][7][10]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Fundamentals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2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Extremely rapid early revenue growth and strong defence moat contrast with modest absolute scale and an exceptional revenue multiple, yielding a cautious fundamentals score.[2][4][12][15]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Return Potential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2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Despite strong strategic positioning and clear exit avenues, the very high entry valuation tempers realistic base-case MOIC/IRR, yielding mid-range return potential.[2][4][12][15]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AI Score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4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Helsing is a pure-play defence AI company with proprietary data, deep workflow integration and validated performance, giving it a strong, non-feature-layer AI moat.[1][2][7][10][15]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Terms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2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Co-invest and secondary access economics are not yet disclosed; assuming no recurring management fee but otherwise standard late-stage terms, we conservatively score terms mid-range.[2][8][11][12]</w:t>
            </w:r>
          </w:p>
        </w:tc>
      </w:tr>
    </w:tbl>
    <w:p>
      <w:pPr>
        <w:spacing w:after="160"/>
      </w:pP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4"/>
        </w:rPr>
        <w:t>RATIONALE</w:t>
      </w:r>
    </w:p>
    <w:p>
      <w:pPr>
        <w:spacing w:before="120" w:after="120"/>
        <w:jc w:val="both"/>
      </w:pPr>
      <w:r>
        <w:rPr>
          <w:rFonts w:ascii="Sora" w:hAnsi="Sora"/>
          <w:b w:val="0"/>
          <w:caps w:val="0"/>
          <w:color w:val="1A1A1A"/>
          <w:sz w:val="21"/>
        </w:rPr>
        <w:t>Helsing’s Series E strongly matches ID8’s thesis: new-money Tier1 co-leads, clear AI-driven defence moat, and an elite founding team. Extraordinary entry valuation versus still-early revenue tempers fundamentals and return potential, warranting disciplined but continued diligence.[1][2][4][7][8][12][15]</w:t>
      </w:r>
    </w:p>
    <w:p>
      <w:pPr>
        <w:spacing w:before="80"/>
      </w:pPr>
      <w:r>
        <w:rPr>
          <w:rFonts w:ascii="Sora" w:hAnsi="Sora"/>
          <w:b w:val="0"/>
          <w:caps w:val="0"/>
          <w:color w:val="828282"/>
          <w:sz w:val="18"/>
        </w:rPr>
        <w:t>Confidence: medium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ra" w:hAnsi="Sora"/>
        <w:b w:val="0"/>
        <w:caps w:val="0"/>
        <w:color w:val="828282"/>
        <w:sz w:val="17"/>
      </w:rPr>
      <w:t xml:space="preserve">Page </w:t>
    </w:r>
    <w:fldChar w:fldCharType="begin"/>
    <w:instrText xml:space="preserve"> PAGE </w:instrText>
    <w:fldChar w:fldCharType="end"/>
    <w:r>
      <w:rPr>
        <w:rFonts w:ascii="Sora" w:hAnsi="Sora"/>
        <w:b w:val="0"/>
        <w:caps w:val="0"/>
        <w:color w:val="828282"/>
        <w:sz w:val="17"/>
      </w:rPr>
      <w:t xml:space="preserve"> of </w:t>
    </w:r>
    <w:fldChar w:fldCharType="begin"/>
    <w:instrText xml:space="preserve"> NUMPAGES 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440"/>
      <w:gridCol w:w="7920"/>
    </w:tblGrid>
    <w:tr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594360" cy="5872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d8_charco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" cy="5872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pPr>
            <w:spacing w:before="80"/>
            <w:jc w:val="right"/>
          </w:pPr>
          <w:r>
            <w:rPr>
              <w:rFonts w:ascii="Sora" w:hAnsi="Sora"/>
              <w:b w:val="0"/>
              <w:caps/>
              <w:color w:val="828282"/>
              <w:sz w:val="16"/>
            </w:rPr>
            <w:t>DEAL SCREEN  ·  ID8 INVESTMENTS  ·  CONFIDENTIAL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ra" w:hAnsi="Sor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