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Chai Discovery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chaidiscovery.com   ·   Series C   ·   San Francisco, CA   ·   Dimension (United States)(Zavain Dar), Index Ventures(Nina Achadjian), Kleiner Perkins(Ilya Fushman), Sequoia Capital(Patrick Grady)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2.4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2.4)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WATCH LIST — OUTSIDE MANDATE (STAGE)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Micro1's Series A appears as a standard VC-led growth round with non-Tier1 lead, unclear new-money status and no visible strategic or insider momentum.[20]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Founder and team quality are mostly unverified, with minimal public information, no demonstrated scaling track record, yet no visible integrity red flags in available coverage.[20]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Micro1 serves AI companies with data-labeling infrastructure, but disclosures emphasize services and workflow over proprietary models or a clearly compounding AI data moat.[20]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With only primary funding press and no adverse signals on fees or carry, Micro1 is assumed to have standard institutional round terms consistent with 0/0/10 economics.[20]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Micro1's financial metrics remain undisclosed, yet it targets a large AI data-labeling market with a moderate process-driven moat but unclear efficiency, diversification and capital discipline.[20]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2.6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Micro1's $500m Series A suggests potential venture-scale upside, yet unclear entry multiple, dilution assumptions and secondary demand reduce confidence in a 6x base-case return.[20][5][6][7][8]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Micro1 provides AI-focused data-labeling services in a large market, but its Series A lacks a visible new-money Tier1 lead or proprietary AI moat, limiting fit with ID8's thesis.[20] As out-of-mandate Series A, it should be tracked for Series B.[20]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