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0" w:after="40"/>
      </w:pPr>
      <w:r>
        <w:rPr>
          <w:rFonts w:ascii="Roboto Serif" w:hAnsi="Roboto Serif"/>
          <w:b/>
          <w:caps w:val="0"/>
          <w:color w:val="1A1A1A"/>
          <w:sz w:val="44"/>
        </w:rPr>
        <w:t>Oratomic</w:t>
      </w:r>
    </w:p>
    <w:p>
      <w:pPr>
        <w:spacing w:after="40"/>
      </w:pPr>
      <w:r>
        <w:rPr>
          <w:rFonts w:ascii="Sora" w:hAnsi="Sora"/>
          <w:b w:val="0"/>
          <w:caps w:val="0"/>
          <w:color w:val="828282"/>
          <w:sz w:val="21"/>
        </w:rPr>
        <w:t>oratomic.com   ·   Series A   ·   Pasadena, CA   ·   ARCH Venture Partners, Khosla Ventures(Vinod Khosla), Spark Capital</w:t>
      </w:r>
    </w:p>
    <w:p>
      <w:pPr>
        <w:spacing w:after="200"/>
      </w:pPr>
      <w:r>
        <w:rPr>
          <w:rFonts w:ascii="Sora" w:hAnsi="Sora"/>
          <w:b w:val="0"/>
          <w:caps w:val="0"/>
          <w:color w:val="828282"/>
          <w:sz w:val="18"/>
        </w:rPr>
        <w:t>Screened 2026-07-13</w:t>
      </w:r>
    </w:p>
    <w:p>
      <w:pPr>
        <w:spacing w:after="120"/>
        <w:pBdr>
          <w:bottom w:val="single" w:sz="6" w:color="1A1A1A" w:space="4"/>
        </w:pBdr>
      </w:pPr>
      <w:r>
        <w:rPr>
          <w:rFonts w:ascii="Roboto Serif" w:hAnsi="Roboto Serif"/>
          <w:b/>
          <w:caps w:val="0"/>
          <w:color w:val="1A1A1A"/>
          <w:sz w:val="28"/>
        </w:rPr>
        <w:t>FIT ASSESSMENT</w:t>
      </w:r>
    </w:p>
    <w:p>
      <w:pPr>
        <w:spacing w:before="120" w:after="240"/>
      </w:pPr>
      <w:r>
        <w:rPr>
          <w:rFonts w:ascii="Roboto Serif" w:hAnsi="Roboto Serif"/>
          <w:b/>
          <w:caps w:val="0"/>
          <w:color w:val="1A1A1A"/>
          <w:sz w:val="32"/>
        </w:rPr>
        <w:t>0.0 / 4.0</w:t>
      </w:r>
      <w:r>
        <w:rPr>
          <w:rFonts w:ascii="Sora" w:hAnsi="Sora"/>
          <w:b w:val="0"/>
          <w:caps w:val="0"/>
          <w:color w:val="828282"/>
          <w:sz w:val="21"/>
        </w:rPr>
        <w:t xml:space="preserve">   (raw 0.0)</w:t>
      </w:r>
      <w:r>
        <w:rPr>
          <w:rFonts w:ascii="Sora" w:hAnsi="Sora"/>
          <w:b w:val="0"/>
          <w:caps w:val="0"/>
          <w:color w:val="828282"/>
          <w:sz w:val="21"/>
        </w:rPr>
        <w:t xml:space="preserve">   —   SCORING FAILED — NOT SCREENED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664"/>
            <w:shd w:val="clear" w:color="auto" w:fill="1A1A1A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rFonts w:ascii="Sora" w:hAnsi="Sora"/>
                <w:b/>
                <w:caps/>
                <w:color w:val="FFFFFF"/>
                <w:sz w:val="18"/>
              </w:rPr>
              <w:t>Dimension</w:t>
            </w:r>
          </w:p>
        </w:tc>
        <w:tc>
          <w:tcPr>
            <w:tcW w:type="dxa" w:w="792"/>
            <w:shd w:val="clear" w:color="auto" w:fill="1A1A1A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rFonts w:ascii="Sora" w:hAnsi="Sora"/>
                <w:b/>
                <w:caps/>
                <w:color w:val="FFFFFF"/>
                <w:sz w:val="18"/>
              </w:rPr>
              <w:t>Score</w:t>
            </w:r>
          </w:p>
        </w:tc>
        <w:tc>
          <w:tcPr>
            <w:tcW w:type="dxa" w:w="5904"/>
            <w:shd w:val="clear" w:color="auto" w:fill="1A1A1A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rFonts w:ascii="Sora" w:hAnsi="Sora"/>
                <w:b/>
                <w:caps/>
                <w:color w:val="FFFFFF"/>
                <w:sz w:val="18"/>
              </w:rPr>
              <w:t>Evidence</w:t>
            </w:r>
          </w:p>
        </w:tc>
      </w:tr>
    </w:tbl>
    <w:p>
      <w:pPr>
        <w:spacing w:after="160"/>
      </w:pPr>
    </w:p>
    <w:p>
      <w:pPr>
        <w:spacing w:after="120"/>
        <w:pBdr>
          <w:bottom w:val="single" w:sz="6" w:color="1A1A1A" w:space="4"/>
        </w:pBdr>
      </w:pPr>
      <w:r>
        <w:rPr>
          <w:rFonts w:ascii="Roboto Serif" w:hAnsi="Roboto Serif"/>
          <w:b/>
          <w:caps w:val="0"/>
          <w:color w:val="1A1A1A"/>
          <w:sz w:val="24"/>
        </w:rPr>
        <w:t>RATIONALE</w:t>
      </w:r>
    </w:p>
    <w:p>
      <w:pPr>
        <w:spacing w:before="120" w:after="120"/>
        <w:jc w:val="both"/>
      </w:pPr>
      <w:r>
        <w:rPr>
          <w:rFonts w:ascii="Sora" w:hAnsi="Sora"/>
          <w:b w:val="0"/>
          <w:caps w:val="0"/>
          <w:color w:val="1A1A1A"/>
          <w:sz w:val="21"/>
        </w:rPr>
        <w:t>scoring failed: 401 Client Error: Unauthorized for url: https://api.perplexity.ai/chat/completions</w:t>
      </w:r>
    </w:p>
    <w:p>
      <w:pPr>
        <w:spacing w:before="80"/>
      </w:pPr>
      <w:r>
        <w:rPr>
          <w:rFonts w:ascii="Sora" w:hAnsi="Sora"/>
          <w:b w:val="0"/>
          <w:caps w:val="0"/>
          <w:color w:val="828282"/>
          <w:sz w:val="18"/>
        </w:rPr>
        <w:t>Confidence: low</w:t>
      </w:r>
    </w:p>
    <w:sectPr w:rsidR="00FC693F" w:rsidRPr="0006063C" w:rsidSect="00034616">
      <w:footerReference w:type="default" r:id="rId9"/>
      <w:head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Sora" w:hAnsi="Sora"/>
        <w:b w:val="0"/>
        <w:caps w:val="0"/>
        <w:color w:val="828282"/>
        <w:sz w:val="17"/>
      </w:rPr>
      <w:t xml:space="preserve">Page </w:t>
    </w:r>
    <w:fldChar w:fldCharType="begin"/>
    <w:instrText xml:space="preserve"> PAGE </w:instrText>
    <w:fldChar w:fldCharType="end"/>
    <w:r>
      <w:rPr>
        <w:rFonts w:ascii="Sora" w:hAnsi="Sora"/>
        <w:b w:val="0"/>
        <w:caps w:val="0"/>
        <w:color w:val="828282"/>
        <w:sz w:val="17"/>
      </w:rPr>
      <w:t xml:space="preserve"> of </w:t>
    </w:r>
    <w:fldChar w:fldCharType="begin"/>
    <w:instrText xml:space="preserve"> NUMPAGES </w:instrText>
    <w:fldChar w:fldCharType="end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tblLayout w:type="fixed"/>
      <w:tblLook w:firstColumn="1" w:firstRow="1" w:lastColumn="0" w:lastRow="0" w:noHBand="0" w:noVBand="1" w:val="04A0"/>
    </w:tblPr>
    <w:tblGrid>
      <w:gridCol w:w="1440"/>
      <w:gridCol w:w="7920"/>
    </w:tblGrid>
    <w:tr>
      <w:tc>
        <w:tcPr>
          <w:tcW w:type="dxa" w:w="4680"/>
          <w:tcBorders>
            <w:top w:val="nil"/>
            <w:left w:val="nil"/>
            <w:right w:val="nil"/>
            <w:bottom w:val="single" w:sz="4" w:color="1A1A1A"/>
          </w:tcBorders>
        </w:tcPr>
        <w:p>
          <w:r>
            <w:drawing>
              <wp:inline xmlns:a="http://schemas.openxmlformats.org/drawingml/2006/main" xmlns:pic="http://schemas.openxmlformats.org/drawingml/2006/picture">
                <wp:extent cx="594360" cy="58725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id8_charcoal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4360" cy="58725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4680"/>
          <w:tcBorders>
            <w:top w:val="nil"/>
            <w:left w:val="nil"/>
            <w:right w:val="nil"/>
            <w:bottom w:val="single" w:sz="4" w:color="1A1A1A"/>
          </w:tcBorders>
        </w:tcPr>
        <w:p>
          <w:pPr>
            <w:spacing w:before="80"/>
            <w:jc w:val="right"/>
          </w:pPr>
          <w:r>
            <w:rPr>
              <w:rFonts w:ascii="Sora" w:hAnsi="Sora"/>
              <w:b w:val="0"/>
              <w:caps/>
              <w:color w:val="828282"/>
              <w:sz w:val="16"/>
            </w:rPr>
            <w:t>DEAL SCREEN  ·  ID8 INVESTMENTS  ·  CONFIDENTIAL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ora" w:hAnsi="Sor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