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Roboto Serif" w:hAnsi="Roboto Serif"/>
          <w:b/>
          <w:caps w:val="0"/>
          <w:color w:val="1A1A1A"/>
          <w:sz w:val="44"/>
        </w:rPr>
        <w:t>Distyl AI</w:t>
      </w:r>
    </w:p>
    <w:p>
      <w:pPr>
        <w:spacing w:after="200"/>
      </w:pPr>
      <w:r>
        <w:rPr>
          <w:rFonts w:ascii="Sora" w:hAnsi="Sora"/>
          <w:b w:val="0"/>
          <w:caps w:val="0"/>
          <w:color w:val="828282"/>
          <w:sz w:val="18"/>
        </w:rPr>
        <w:t>Screened 2026-07-09</w:t>
      </w:r>
    </w:p>
    <w:p>
      <w:pPr>
        <w:spacing w:after="120"/>
        <w:pBdr>
          <w:bottom w:val="single" w:sz="6" w:color="1A1A1A" w:space="4"/>
        </w:pBdr>
      </w:pPr>
      <w:r>
        <w:rPr>
          <w:rFonts w:ascii="Roboto Serif" w:hAnsi="Roboto Serif"/>
          <w:b/>
          <w:caps w:val="0"/>
          <w:color w:val="1A1A1A"/>
          <w:sz w:val="28"/>
        </w:rPr>
        <w:t>FIT ASSESSMENT</w:t>
      </w:r>
    </w:p>
    <w:p>
      <w:pPr>
        <w:spacing w:before="120" w:after="240"/>
      </w:pPr>
      <w:r>
        <w:rPr>
          <w:rFonts w:ascii="Roboto Serif" w:hAnsi="Roboto Serif"/>
          <w:b/>
          <w:caps w:val="0"/>
          <w:color w:val="1A1A1A"/>
          <w:sz w:val="32"/>
        </w:rPr>
        <w:t>3.6 / 4.0</w:t>
      </w:r>
      <w:r>
        <w:rPr>
          <w:rFonts w:ascii="Sora" w:hAnsi="Sora"/>
          <w:b w:val="0"/>
          <w:caps w:val="0"/>
          <w:color w:val="828282"/>
          <w:sz w:val="21"/>
        </w:rPr>
        <w:t xml:space="preserve">   (raw 3.5)</w:t>
      </w:r>
      <w:r>
        <w:rPr>
          <w:rFonts w:ascii="Sora" w:hAnsi="Sora"/>
          <w:b w:val="0"/>
          <w:caps w:val="0"/>
          <w:color w:val="828282"/>
          <w:sz w:val="21"/>
        </w:rPr>
        <w:t xml:space="preserve">   —   CLEARS GATE · STRONG GO</w:t>
      </w:r>
    </w:p>
    <w:tbl>
      <w:tblPr>
        <w:tblW w:type="auto" w:w="0"/>
        <w:tblLayout w:type="fixed"/>
        <w:tblLook w:firstColumn="1" w:firstRow="1" w:lastColumn="0" w:lastRow="0" w:noHBand="0" w:noVBand="1" w:val="04A0"/>
      </w:tblPr>
      <w:tblGrid>
        <w:gridCol w:w="3120"/>
        <w:gridCol w:w="3120"/>
        <w:gridCol w:w="3120"/>
      </w:tblGrid>
      <w:tr>
        <w:tc>
          <w:tcPr>
            <w:tcW w:type="dxa" w:w="2664"/>
            <w:shd w:val="clear" w:color="auto" w:fill="1A1A1A"/>
            <w:tcMar>
              <w:top w:w="40" w:type="dxa"/>
              <w:bottom w:w="40" w:type="dxa"/>
              <w:left w:w="60" w:type="dxa"/>
              <w:right w:w="60" w:type="dxa"/>
            </w:tcMar>
          </w:tcPr>
          <w:p>
            <w:r>
              <w:rPr>
                <w:rFonts w:ascii="Sora" w:hAnsi="Sora"/>
                <w:b/>
                <w:caps/>
                <w:color w:val="FFFFFF"/>
                <w:sz w:val="18"/>
              </w:rPr>
              <w:t>Dimension</w:t>
            </w:r>
          </w:p>
        </w:tc>
        <w:tc>
          <w:tcPr>
            <w:tcW w:type="dxa" w:w="792"/>
            <w:shd w:val="clear" w:color="auto" w:fill="1A1A1A"/>
            <w:tcMar>
              <w:top w:w="40" w:type="dxa"/>
              <w:bottom w:w="40" w:type="dxa"/>
              <w:left w:w="60" w:type="dxa"/>
              <w:right w:w="60" w:type="dxa"/>
            </w:tcMar>
          </w:tcPr>
          <w:p>
            <w:r>
              <w:rPr>
                <w:rFonts w:ascii="Sora" w:hAnsi="Sora"/>
                <w:b/>
                <w:caps/>
                <w:color w:val="FFFFFF"/>
                <w:sz w:val="18"/>
              </w:rPr>
              <w:t>Score</w:t>
            </w:r>
          </w:p>
        </w:tc>
        <w:tc>
          <w:tcPr>
            <w:tcW w:type="dxa" w:w="5904"/>
            <w:shd w:val="clear" w:color="auto" w:fill="1A1A1A"/>
            <w:tcMar>
              <w:top w:w="40" w:type="dxa"/>
              <w:bottom w:w="40" w:type="dxa"/>
              <w:left w:w="60" w:type="dxa"/>
              <w:right w:w="60" w:type="dxa"/>
            </w:tcMar>
          </w:tcPr>
          <w:p>
            <w:r>
              <w:rPr>
                <w:rFonts w:ascii="Sora" w:hAnsi="Sora"/>
                <w:b/>
                <w:caps/>
                <w:color w:val="FFFFFF"/>
                <w:sz w:val="18"/>
              </w:rPr>
              <w:t>Evidence</w:t>
            </w:r>
          </w:p>
        </w:tc>
      </w:tr>
      <w:tr>
        <w:tc>
          <w:tcPr>
            <w:tcW w:type="dxa" w:w="266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Lead / Round Dynamics</w:t>
            </w:r>
          </w:p>
        </w:tc>
        <w:tc>
          <w:tcPr>
            <w:tcW w:type="dxa" w:w="792"/>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4</w:t>
            </w:r>
            <w:r>
              <w:rPr>
                <w:rFonts w:ascii="Sora" w:hAnsi="Sora"/>
                <w:b w:val="0"/>
                <w:caps w:val="0"/>
                <w:color w:val="828282"/>
                <w:sz w:val="17"/>
              </w:rPr>
              <w:t xml:space="preserve"> / 4</w:t>
            </w:r>
          </w:p>
        </w:tc>
        <w:tc>
          <w:tcPr>
            <w:tcW w:type="dxa" w:w="590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In October 2024 Distyl AI raised a $175M round at a $1.8B valuation led by Lightspeed Venture Partners, with participation from Sequoia Capital and others; Lightspeed is explicitly in the Tier 1+ list and this is described as an investing round rather than an insider bridge, consistent with a new-money Series B+ style growth round with clear co-investor access.[3][5]</w:t>
            </w:r>
          </w:p>
        </w:tc>
      </w:tr>
      <w:tr>
        <w:tc>
          <w:tcPr>
            <w:tcW w:type="dxa" w:w="266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Founder / Team Quality</w:t>
            </w:r>
          </w:p>
        </w:tc>
        <w:tc>
          <w:tcPr>
            <w:tcW w:type="dxa" w:w="792"/>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4</w:t>
            </w:r>
            <w:r>
              <w:rPr>
                <w:rFonts w:ascii="Sora" w:hAnsi="Sora"/>
                <w:b w:val="0"/>
                <w:caps w:val="0"/>
                <w:color w:val="828282"/>
                <w:sz w:val="17"/>
              </w:rPr>
              <w:t xml:space="preserve"> / 4</w:t>
            </w:r>
          </w:p>
        </w:tc>
        <w:tc>
          <w:tcPr>
            <w:tcW w:type="dxa" w:w="590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Distyl was founded in 2022 by CEO Arjun Prakash and CTO Derek Ho, described by Lightspeed as a "crack team" with deep experience in AI and enterprise deployments, and Distyl highlights a team of forward-deployed AI engineers working with Fortune-scale customers, implying strong recruiting and domain authority; founders previously held senior roles in AI/ML and engineering at leading tech companies per LinkedIn.[1][2][3]</w:t>
            </w:r>
          </w:p>
        </w:tc>
      </w:tr>
      <w:tr>
        <w:tc>
          <w:tcPr>
            <w:tcW w:type="dxa" w:w="266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Fundamentals</w:t>
            </w:r>
          </w:p>
        </w:tc>
        <w:tc>
          <w:tcPr>
            <w:tcW w:type="dxa" w:w="792"/>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3</w:t>
            </w:r>
            <w:r>
              <w:rPr>
                <w:rFonts w:ascii="Sora" w:hAnsi="Sora"/>
                <w:b w:val="0"/>
                <w:caps w:val="0"/>
                <w:color w:val="828282"/>
                <w:sz w:val="17"/>
              </w:rPr>
              <w:t xml:space="preserve"> / 4</w:t>
            </w:r>
          </w:p>
        </w:tc>
        <w:tc>
          <w:tcPr>
            <w:tcW w:type="dxa" w:w="590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The October 2024 round valued Distyl at $1.8B on $175M of primary capital, with the company stating it has reached over 120M end users and delivered "hundreds of millions" in operating impact for customers, but it does not disclose ARR, growth rate, or margins.[5] Given enterprise traction and scale signals but no direct revenue figures, an [ESTIMATED] revenue range using typical 20–30x ARR multiples for high-growth GenAI infra at $1.8B implies roughly $60–90M ARR, which would place it near or above the $50M threshold but with only medium confidence and no hard NDR/burn data; this supports a 3 rather than 4, with Fundamentals based on strong traction but partial data.[3][5]</w:t>
            </w:r>
          </w:p>
        </w:tc>
      </w:tr>
      <w:tr>
        <w:tc>
          <w:tcPr>
            <w:tcW w:type="dxa" w:w="266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Return Potential</w:t>
            </w:r>
          </w:p>
        </w:tc>
        <w:tc>
          <w:tcPr>
            <w:tcW w:type="dxa" w:w="792"/>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3</w:t>
            </w:r>
            <w:r>
              <w:rPr>
                <w:rFonts w:ascii="Sora" w:hAnsi="Sora"/>
                <w:b w:val="0"/>
                <w:caps w:val="0"/>
                <w:color w:val="828282"/>
                <w:sz w:val="17"/>
              </w:rPr>
              <w:t xml:space="preserve"> / 4</w:t>
            </w:r>
          </w:p>
        </w:tc>
        <w:tc>
          <w:tcPr>
            <w:tcW w:type="dxa" w:w="590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At a $1.8B entry valuation, a 6x MOIC would require a ~$10B+ exit; given Distyl’s enterprise focus, large AI transformation TAM, and involvement of Tier 1+ backers, a 3–6x outcome (to ~$5–10B) is a reasonable base case but not clearly the default, especially amid intense competition in enterprise GenAI platforms.[3][5] Execution and platform risk mean base-case IRR is more consistent with 20–30% than 30%+, supporting a score of 3.</w:t>
            </w:r>
          </w:p>
        </w:tc>
      </w:tr>
      <w:tr>
        <w:tc>
          <w:tcPr>
            <w:tcW w:type="dxa" w:w="266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AI Score</w:t>
            </w:r>
          </w:p>
        </w:tc>
        <w:tc>
          <w:tcPr>
            <w:tcW w:type="dxa" w:w="792"/>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4</w:t>
            </w:r>
            <w:r>
              <w:rPr>
                <w:rFonts w:ascii="Sora" w:hAnsi="Sora"/>
                <w:b w:val="0"/>
                <w:caps w:val="0"/>
                <w:color w:val="828282"/>
                <w:sz w:val="17"/>
              </w:rPr>
              <w:t xml:space="preserve"> / 4</w:t>
            </w:r>
          </w:p>
        </w:tc>
        <w:tc>
          <w:tcPr>
            <w:tcW w:type="dxa" w:w="590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Distyl is described as an "Enterprise AI company" that "unites powerful AI building blocks" with a deployment team to build production AI copilots and agents on top of customers’ data and systems, with the core value prop being generative AI-native workflows and orchestration rather than generic SaaS.[2][3][6] Lightspeed characterizes Distyl’s platform as enabling enterprises to become "AI-native" with tailored copilots deeply integrated into proprietary systems, which suggests a structural AI moat based on architecture, integrations, and data flywheels that cannot be trivially replaced by a single foundation-model feature.[3]</w:t>
            </w:r>
          </w:p>
        </w:tc>
      </w:tr>
      <w:tr>
        <w:tc>
          <w:tcPr>
            <w:tcW w:type="dxa" w:w="266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Terms</w:t>
            </w:r>
          </w:p>
        </w:tc>
        <w:tc>
          <w:tcPr>
            <w:tcW w:type="dxa" w:w="792"/>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3</w:t>
            </w:r>
            <w:r>
              <w:rPr>
                <w:rFonts w:ascii="Sora" w:hAnsi="Sora"/>
                <w:b w:val="0"/>
                <w:caps w:val="0"/>
                <w:color w:val="828282"/>
                <w:sz w:val="17"/>
              </w:rPr>
              <w:t xml:space="preserve"> / 4</w:t>
            </w:r>
          </w:p>
        </w:tc>
        <w:tc>
          <w:tcPr>
            <w:tcW w:type="dxa" w:w="590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Public coverage describes a standard primary venture round led by Lightspeed with participation from Sequoia and others, with no mention of SPV layers, access fees, or non-standard economics from the company’s perspective; no evidence suggests recurring management fees or extreme carry for co-investors.[3][5] In the absence of contrary data, the deal is best treated as consistent with a standard 0/0/10-style VC primary round for an institutional LP, supporting a 3 rather than 4.</w:t>
            </w:r>
          </w:p>
        </w:tc>
      </w:tr>
    </w:tbl>
    <w:p>
      <w:pPr>
        <w:spacing w:after="160"/>
      </w:pPr>
    </w:p>
    <w:p>
      <w:pPr>
        <w:spacing w:after="120"/>
        <w:pBdr>
          <w:bottom w:val="single" w:sz="6" w:color="1A1A1A" w:space="4"/>
        </w:pBdr>
      </w:pPr>
      <w:r>
        <w:rPr>
          <w:rFonts w:ascii="Roboto Serif" w:hAnsi="Roboto Serif"/>
          <w:b/>
          <w:caps w:val="0"/>
          <w:color w:val="1A1A1A"/>
          <w:sz w:val="24"/>
        </w:rPr>
        <w:t>RATIONALE</w:t>
      </w:r>
    </w:p>
    <w:p>
      <w:pPr>
        <w:spacing w:before="120" w:after="120"/>
        <w:jc w:val="both"/>
      </w:pPr>
      <w:r>
        <w:rPr>
          <w:rFonts w:ascii="Sora" w:hAnsi="Sora"/>
          <w:b w:val="0"/>
          <w:caps w:val="0"/>
          <w:color w:val="1A1A1A"/>
          <w:sz w:val="21"/>
        </w:rPr>
        <w:t>Distyl AI is a San Francisco–headquartered enterprise GenAI company squarely within ID8’s North America geography mandate and appears to be raising/has recently raised a large Series B+/growth round led by Tier 1+ Lightspeed with Sequoia participating, matching the thesis of new-money Tier 1-led B/C AI deals.[1][3][5] The team has strong AI and enterprise credentials, the product is a pure-play AI platform deeply integrated into customer workflows, and traction/valuation suggest substantial scale even though detailed financials are undisclosed; this supports solid Fundamentals and Return Potential but not yet at the "6x as base case" bar. Overall the deal is thesis-aligned on lead quality and AI centrality, with some data gaps on revenue and unit economics but enough external validation to merit deeper work if access is available.</w:t>
      </w:r>
    </w:p>
    <w:p>
      <w:pPr>
        <w:spacing w:before="80"/>
      </w:pPr>
      <w:r>
        <w:rPr>
          <w:rFonts w:ascii="Sora" w:hAnsi="Sora"/>
          <w:b w:val="0"/>
          <w:caps w:val="0"/>
          <w:color w:val="828282"/>
          <w:sz w:val="18"/>
        </w:rPr>
        <w:t>Confidence: medium</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b w:val="0"/>
        <w:caps w:val="0"/>
        <w:color w:val="828282"/>
        <w:sz w:val="17"/>
      </w:rPr>
      <w:t xml:space="preserve">Page </w:t>
    </w:r>
    <w:fldChar w:fldCharType="begin"/>
    <w:instrText xml:space="preserve"> PAGE </w:instrText>
    <w:fldChar w:fldCharType="end"/>
    <w:r>
      <w:rPr>
        <w:rFonts w:ascii="Sora" w:hAnsi="Sora"/>
        <w:b w:val="0"/>
        <w:caps w:val="0"/>
        <w:color w:val="828282"/>
        <w:sz w:val="17"/>
      </w:rPr>
      <w:t xml:space="preserve"> of </w:t>
    </w:r>
    <w:fldChar w:fldCharType="begin"/>
    <w:instrText xml:space="preserve"> NUMPAGES </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1440"/>
      <w:gridCol w:w="7920"/>
    </w:tblGrid>
    <w:tr>
      <w:tc>
        <w:tcPr>
          <w:tcW w:type="dxa" w:w="4680"/>
          <w:tcBorders>
            <w:top w:val="nil"/>
            <w:left w:val="nil"/>
            <w:right w:val="nil"/>
            <w:bottom w:val="single" w:sz="4" w:color="1A1A1A"/>
          </w:tcBorders>
        </w:tcPr>
        <w:p>
          <w:r>
            <w:drawing>
              <wp:inline xmlns:a="http://schemas.openxmlformats.org/drawingml/2006/main" xmlns:pic="http://schemas.openxmlformats.org/drawingml/2006/picture">
                <wp:extent cx="594360" cy="58725"/>
                <wp:docPr id="1" name="Picture 1"/>
                <wp:cNvGraphicFramePr>
                  <a:graphicFrameLocks noChangeAspect="1"/>
                </wp:cNvGraphicFramePr>
                <a:graphic>
                  <a:graphicData uri="http://schemas.openxmlformats.org/drawingml/2006/picture">
                    <pic:pic>
                      <pic:nvPicPr>
                        <pic:cNvPr id="0" name="id8_charcoal.png"/>
                        <pic:cNvPicPr/>
                      </pic:nvPicPr>
                      <pic:blipFill>
                        <a:blip r:embed="rId1"/>
                        <a:stretch>
                          <a:fillRect/>
                        </a:stretch>
                      </pic:blipFill>
                      <pic:spPr>
                        <a:xfrm>
                          <a:off x="0" y="0"/>
                          <a:ext cx="594360" cy="58725"/>
                        </a:xfrm>
                        <a:prstGeom prst="rect"/>
                      </pic:spPr>
                    </pic:pic>
                  </a:graphicData>
                </a:graphic>
              </wp:inline>
            </w:drawing>
          </w:r>
        </w:p>
      </w:tc>
      <w:tc>
        <w:tcPr>
          <w:tcW w:type="dxa" w:w="4680"/>
          <w:tcBorders>
            <w:top w:val="nil"/>
            <w:left w:val="nil"/>
            <w:right w:val="nil"/>
            <w:bottom w:val="single" w:sz="4" w:color="1A1A1A"/>
          </w:tcBorders>
        </w:tcPr>
        <w:p>
          <w:pPr>
            <w:spacing w:before="80"/>
            <w:jc w:val="right"/>
          </w:pPr>
          <w:r>
            <w:rPr>
              <w:rFonts w:ascii="Sora" w:hAnsi="Sora"/>
              <w:b w:val="0"/>
              <w:caps/>
              <w:color w:val="828282"/>
              <w:sz w:val="16"/>
            </w:rPr>
            <w:t>DEAL SCREEN  ·  ID8 INVESTMENTS  ·  CONFIDENTIAL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ra" w:hAnsi="Sor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