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Ollin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ollin.bio   ·   Series B   ·   Austin, TX   ·   ARCH Venture Partners, TCG Crossover Management(Cariad Chester)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2026-06-29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2.4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BELOW THRESHOLD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Ollin Biosciences raised an oversubscribed $330M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Series B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round co-led by ARCH Venture Partners and TCGX, with participation from T. Rowe Price, Blackstone, RA Capital, and Monograph Capital, all in a primary financing to fund Phase 3 trials.[3][4][9] ARCH is a founding/inside investor, but TCGX is a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new-money Tier 1 crossover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co-lead joining the cap table for the first time, and the round is a large, clean late-stage primary biotech financing, which fits the rubric’s ‘new-money top-tier lead, primary, Series B+’ anchor.[3][4][6]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Ollin is described as a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clinical-stage biotech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developing biologic therapies (e.g., VEGF/Ang2 and TSHR/IGF-1R bispecific antibodies) for ophthalmic and thyroid eye diseases, with no mention of AI, machine learning, or software-driven discovery as part of the core value proposition.[4][5][8] No evidence of AI features or positioning as an AI company was found in press releases or coverage.[4][5][6]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Ollin is a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clinical-stage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company using the $330M Series B primarily to fund global Phase 3 development of OLN324 in DME and wet AMD and to advance OLN102 into the clinic.[4][5][3] There is no disclosed product revenue, growth metrics, NDR, LTV/CAC, or burn profile in public sources, consistent with a pre-commercial biotech whose fundamentals are driven by clinical and regulatory milestones rather than cash-flow metrics.[4][5][8]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The round size ($330M), oversubscription, and participation from top-tier biotech and crossover investors (ARCH, TCGX, T. Rowe Price, Blackstone, RA Capital, Monograph) indicate expectations of significant value creation around pivotal Phase 3 data and potential registration in large indications (DME, wet AMD, TED, Graves’ disease).[3][4][5][6][8] As with most clinical-stage biotech, there is material risk of capital loss due to trial, regulatory, and competitive risks (e.g., competing with Roche’s Vabysmo), but successful Phase 3 outcomes in large markets could plausibly support &gt;3x outcomes, fitting the ‘&gt;3x potential, with some risk of capital loss’ band.[3][6][8]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Public information describes a standard oversubscribed institutional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Series B primary equity round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led by ARCH and TCGX with a top-tier syndicate, with no indication of complex SPV structures, multi-layer fees, or unusual time horizons.[3][4][9] Specific fee/carry terms are not disclosed, but the structure appears to align with a normal late-stage biotech primary financing, so for an ID8 SPV this would typically map to a 0/10 SPV-like structure with reasonable horizon and some data (Phase 2 data leading into Phase 3), justifying a mid-level score absent contrary evidence.[3][4]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 xml:space="preserve">Ollin Biosciences is a U.S.-based clinical-stage ophthalmology biotech headquartered in Austin, TX, raising a large, oversubscribed </w:t>
      </w:r>
      <w:r>
        <w:rPr>
          <w:rFonts w:ascii="Sora" w:hAnsi="Sora"/>
          <w:b/>
          <w:caps w:val="0"/>
          <w:color w:val="1A1A1A"/>
          <w:sz w:val="21"/>
        </w:rPr>
        <w:t>Series B</w:t>
      </w:r>
      <w:r>
        <w:rPr>
          <w:rFonts w:ascii="Sora" w:hAnsi="Sora"/>
          <w:b w:val="0"/>
          <w:caps w:val="0"/>
          <w:color w:val="1A1A1A"/>
          <w:sz w:val="21"/>
        </w:rPr>
        <w:t xml:space="preserve"> round, so it passes both the stage and geography gates.[4][9] The deal strongly aligns with ID8’s core thesis: the round is co-led by </w:t>
      </w:r>
      <w:r>
        <w:rPr>
          <w:rFonts w:ascii="Sora" w:hAnsi="Sora"/>
          <w:b/>
          <w:caps w:val="0"/>
          <w:color w:val="1A1A1A"/>
          <w:sz w:val="21"/>
        </w:rPr>
        <w:t>new-money Tier 1 crossover investor TCGX</w:t>
      </w:r>
      <w:r>
        <w:rPr>
          <w:rFonts w:ascii="Sora" w:hAnsi="Sora"/>
          <w:b w:val="0"/>
          <w:caps w:val="0"/>
          <w:color w:val="1A1A1A"/>
          <w:sz w:val="21"/>
        </w:rPr>
        <w:t xml:space="preserve"> alongside inside/founding investor ARCH, in a clean Series B primary financing, and backed by a top-tier syndicate including T. Rowe Price, Blackstone, RA Capital, and Monograph.[3][4][6] While there is no AI element and commercial fundamentals are not yet visible, the scale of capital, Phase 3-ready lead asset in major ophthalmic indications, and high-quality investor roster support meaningful return potential with typical biotech clinical risk.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high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