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A1A1A"/>
          <w:sz w:val="40"/>
          <w:szCs w:val="40"/>
        </w:rPr>
        <w:t xml:space="preserve">Stage 1 Fit Scoring</w:t>
      </w:r>
    </w:p>
    <w:p>
      <w:pPr>
        <w:pBdr>
          <w:bottom w:val="single" w:color="1A1A1A" w:sz="10" w:space="6"/>
        </w:pBdr>
        <w:spacing w:after="300"/>
      </w:pPr>
      <w:r>
        <w:rPr>
          <w:rFonts w:ascii="Calibri" w:cs="Calibri" w:eastAsia="Calibri" w:hAnsi="Calibri"/>
          <w:color w:val="444444"/>
          <w:sz w:val="24"/>
          <w:szCs w:val="24"/>
        </w:rPr>
        <w:t xml:space="preserve">Technical reference: rubric v3.1, deal_intelligence pipeline</w:t>
      </w:r>
    </w:p>
    <w:p>
      <w:pPr>
        <w:spacing w:after="140" w:line="276"/>
      </w:pPr>
      <w:r>
        <w:rPr>
          <w:rFonts w:ascii="Calibri" w:cs="Calibri" w:eastAsia="Calibri" w:hAnsi="Calibri"/>
          <w:sz w:val="21"/>
          <w:szCs w:val="21"/>
        </w:rPr>
        <w:t xml:space="preserve">This document describes exactly how Stage 1 scoring works: the API call, the JSON contract, the rubric's six dimensions and their scoring anchors, the aggregation math, the gate and tier logic, and the failure modes. It reflects the code as of July 2026 (deal_intelligence/stage1_fit.py, rubric.py, config.py, prompts/rubric.md, prompts/stage1_fit.md). Where the model makes the call (research judgment) and where code makes the call (arithmetic, thresholds) are called out explicitly, since they are enforced differently and fail differently.</w:t>
      </w:r>
    </w:p>
    <w:p>
      <w:pPr>
        <w:pStyle w:val="Heading1"/>
        <w:pBdr>
          <w:bottom w:val="single" w:color="1A1A1A" w:sz="6" w:space="4"/>
        </w:pBdr>
        <w:spacing w:after="200" w:before="400"/>
      </w:pPr>
      <w:r>
        <w:rPr>
          <w:rFonts w:ascii="Calibri" w:cs="Calibri" w:eastAsia="Calibri" w:hAnsi="Calibri"/>
          <w:b/>
          <w:bCs/>
          <w:color w:val="1A1A1A"/>
          <w:sz w:val="30"/>
          <w:szCs w:val="30"/>
        </w:rPr>
        <w:t xml:space="preserve">1. Where Stage 1 Sits</w:t>
      </w:r>
    </w:p>
    <w:p>
      <w:pPr>
        <w:spacing w:after="140" w:line="276"/>
      </w:pPr>
      <w:r>
        <w:rPr>
          <w:rFonts w:ascii="Calibri" w:cs="Calibri" w:eastAsia="Calibri" w:hAnsi="Calibri"/>
          <w:sz w:val="21"/>
          <w:szCs w:val="21"/>
        </w:rPr>
        <w:t xml:space="preserve">Stage 1 runs once per deal, on every deal whose Attio stage is set to Qualified. It is the only scoring pass every qualified deal receives. It produces a DealFit record: a weighted 1-4 fit_score, a gate boolean, and a quality_tier label. It does not produce a memo.</w:t>
      </w:r>
    </w:p>
    <w:p>
      <w:pPr>
        <w:spacing w:after="140" w:line="276"/>
      </w:pPr>
      <w:r>
        <w:rPr>
          <w:rFonts w:ascii="Calibri" w:cs="Calibri" w:eastAsia="Calibri" w:hAnsi="Calibri"/>
          <w:sz w:val="21"/>
          <w:szCs w:val="21"/>
        </w:rPr>
        <w:t xml:space="preserve">Deals that clear the gate (quality_tier strong_go or go_ic) move to Stage 2, which runs eleven angle-specific Perplexity queries per deal and a Claude synthesis pass to produce the full memo. Deals that do not clear the gate stop at Stage 1: their DealFit record is the entire research product for that deal.</w:t>
      </w:r>
    </w:p>
    <w:p>
      <w:pPr>
        <w:spacing w:after="140" w:line="276"/>
      </w:pPr>
      <w:r>
        <w:rPr>
          <w:rFonts w:ascii="Calibri" w:cs="Calibri" w:eastAsia="Calibri" w:hAnsi="Calibri"/>
          <w:b/>
          <w:bCs/>
          <w:sz w:val="21"/>
          <w:szCs w:val="21"/>
        </w:rPr>
        <w:t xml:space="preserve">Stage 1 makes zero Anthropic API calls. </w:t>
      </w:r>
      <w:r>
        <w:rPr>
          <w:rFonts w:ascii="Calibri" w:cs="Calibri" w:eastAsia="Calibri" w:hAnsi="Calibri"/>
          <w:sz w:val="21"/>
          <w:szCs w:val="21"/>
        </w:rPr>
        <w:t xml:space="preserve">Research and scoring both run on Perplexity. Claude only enters the pipeline in Stage 2 (rubric.py's SCORE_MODEL and SYNTH_MODEL, both Claude models, are Stage 2 concerns). This is a deliberate architectural boundary, not an oversight: Stage 1 runs on every qualified deal, so its cost structure matters more, and Perplexity's web search is what does the actual research here, not an LLM reasoning over pre-fetched context.</w:t>
      </w:r>
    </w:p>
    <w:p>
      <w:pPr>
        <w:pStyle w:val="Heading1"/>
        <w:pBdr>
          <w:bottom w:val="single" w:color="1A1A1A" w:sz="6" w:space="4"/>
        </w:pBdr>
        <w:spacing w:after="200" w:before="400"/>
      </w:pPr>
      <w:r>
        <w:rPr>
          <w:rFonts w:ascii="Calibri" w:cs="Calibri" w:eastAsia="Calibri" w:hAnsi="Calibri"/>
          <w:b/>
          <w:bCs/>
          <w:color w:val="1A1A1A"/>
          <w:sz w:val="30"/>
          <w:szCs w:val="30"/>
        </w:rPr>
        <w:t xml:space="preserve">2. Execution Mechanics</w:t>
      </w:r>
    </w:p>
    <w:p>
      <w:pPr>
        <w:pStyle w:val="Heading2"/>
        <w:spacing w:after="120" w:before="300"/>
      </w:pPr>
      <w:r>
        <w:rPr>
          <w:rFonts w:ascii="Calibri" w:cs="Calibri" w:eastAsia="Calibri" w:hAnsi="Calibri"/>
          <w:b/>
          <w:bCs/>
          <w:color w:val="1A1A1A"/>
          <w:sz w:val="24"/>
          <w:szCs w:val="24"/>
        </w:rPr>
        <w:t xml:space="preserve">2.1 The API call</w:t>
      </w:r>
    </w:p>
    <w:p>
      <w:pPr>
        <w:spacing w:after="140" w:line="276"/>
      </w:pPr>
      <w:r>
        <w:rPr>
          <w:rFonts w:ascii="Calibri" w:cs="Calibri" w:eastAsia="Calibri" w:hAnsi="Calibri"/>
          <w:sz w:val="21"/>
          <w:szCs w:val="21"/>
        </w:rPr>
        <w:t xml:space="preserve">Each deal gets exactly one call: research.perplexity_async(), wrapping Perplexity's chat completions endpoint. The parameters, and why each is set the way it is: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600"/>
        <w:gridCol w:w="6300"/>
      </w:tblGrid>
      <w:tr>
        <w:trPr>
          <w:tblHeader/>
        </w:trPr>
        <w:tc>
          <w:tcPr>
            <w:tcW w:type="dxa" w:w="2600"/>
            <w:shd w:fill="E8E8E8" w:val="clear"/>
            <w:tcMar>
              <w:top w:type="dxa" w:w="60"/>
              <w:left w:type="dxa" w:w="100"/>
              <w:bottom w:type="dxa" w:w="60"/>
              <w:right w:type="dxa" w:w="100"/>
            </w:tcMar>
            <w:vAlign w:val="center"/>
          </w:tcPr>
          <w:p>
            <w:pPr>
              <w:jc w:val="left"/>
            </w:pPr>
            <w:r>
              <w:rPr>
                <w:rFonts w:ascii="Calibri" w:cs="Calibri" w:eastAsia="Calibri" w:hAnsi="Calibri"/>
                <w:b/>
                <w:bCs/>
                <w:color w:val="1A1A1A"/>
                <w:sz w:val="19"/>
                <w:szCs w:val="19"/>
              </w:rPr>
              <w:t xml:space="preserve">Parameter</w:t>
            </w:r>
          </w:p>
        </w:tc>
        <w:tc>
          <w:tcPr>
            <w:tcW w:type="dxa" w:w="6300"/>
            <w:shd w:fill="E8E8E8" w:val="clear"/>
            <w:tcMar>
              <w:top w:type="dxa" w:w="60"/>
              <w:left w:type="dxa" w:w="100"/>
              <w:bottom w:type="dxa" w:w="60"/>
              <w:right w:type="dxa" w:w="100"/>
            </w:tcMar>
            <w:vAlign w:val="center"/>
          </w:tcPr>
          <w:p>
            <w:pPr>
              <w:jc w:val="left"/>
            </w:pPr>
            <w:r>
              <w:rPr>
                <w:rFonts w:ascii="Calibri" w:cs="Calibri" w:eastAsia="Calibri" w:hAnsi="Calibri"/>
                <w:b/>
                <w:bCs/>
                <w:color w:val="1A1A1A"/>
                <w:sz w:val="19"/>
                <w:szCs w:val="19"/>
              </w:rPr>
              <w:t xml:space="preserve">Value and rationale</w:t>
            </w:r>
          </w:p>
        </w:tc>
      </w:tr>
      <w:tr>
        <w:tc>
          <w:tcPr>
            <w:tcW w:type="dxa" w:w="26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model</w:t>
            </w:r>
          </w:p>
        </w:tc>
        <w:tc>
          <w:tcPr>
            <w:tcW w:type="dxa" w:w="63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sonar-deep-research (config.STAGE1_RESEARCH_MODEL, overridable via DI_STAGE1_MODEL). Perplexity's deepest research model. Every qualified deal gets this, not a cheaper fast pass.</w:t>
            </w:r>
          </w:p>
        </w:tc>
      </w:tr>
      <w:tr>
        <w:tc>
          <w:tcPr>
            <w:tcW w:type="dxa" w:w="2600"/>
            <w:shd w:fill="F4F4F4"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temperature</w:t>
            </w:r>
          </w:p>
        </w:tc>
        <w:tc>
          <w:tcPr>
            <w:tcW w:type="dxa" w:w="6300"/>
            <w:shd w:fill="F4F4F4"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0. Scoring should be as repeatable as possible so a boundary deal does not flip across the gate between runs. Web-search variance (different pages returned on different calls) remains regardless of temperature.</w:t>
            </w:r>
          </w:p>
        </w:tc>
      </w:tr>
      <w:tr>
        <w:tc>
          <w:tcPr>
            <w:tcW w:type="dxa" w:w="26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reasoning_effort</w:t>
            </w:r>
          </w:p>
        </w:tc>
        <w:tc>
          <w:tcPr>
            <w:tcW w:type="dxa" w:w="63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medium (config.STAGE1_REASONING_EFFORT). Not high: production testing showed high drives the model to roughly 40 search queries and 100K+ reasoning tokens, exhausting its generation budget on reasoning before it ever writes the JSON answer. Every attempt at high came back finish_reason=length with completion_tokens=0. Medium is still deeper than the prior sonar-pro baseline and actually completes.</w:t>
            </w:r>
          </w:p>
        </w:tc>
      </w:tr>
      <w:tr>
        <w:tc>
          <w:tcPr>
            <w:tcW w:type="dxa" w:w="2600"/>
            <w:shd w:fill="F4F4F4"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search_context_size</w:t>
            </w:r>
          </w:p>
        </w:tc>
        <w:tc>
          <w:tcPr>
            <w:tcW w:type="dxa" w:w="6300"/>
            <w:shd w:fill="F4F4F4"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medium (config.STAGE1_SEARCH_CONTEXT_SIZE). Controls how much web context Perplexity pulls per query; API default is low.</w:t>
            </w:r>
          </w:p>
        </w:tc>
      </w:tr>
      <w:tr>
        <w:tc>
          <w:tcPr>
            <w:tcW w:type="dxa" w:w="26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max_tokens</w:t>
            </w:r>
          </w:p>
        </w:tc>
        <w:tc>
          <w:tcPr>
            <w:tcW w:type="dxa" w:w="63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12000 (config.STAGE1_MAX_TOKENS). See 2.3 for why this number and its history of being raised.</w:t>
            </w:r>
          </w:p>
        </w:tc>
      </w:tr>
      <w:tr>
        <w:tc>
          <w:tcPr>
            <w:tcW w:type="dxa" w:w="2600"/>
            <w:shd w:fill="F4F4F4"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timeout</w:t>
            </w:r>
          </w:p>
        </w:tc>
        <w:tc>
          <w:tcPr>
            <w:tcW w:type="dxa" w:w="6300"/>
            <w:shd w:fill="F4F4F4"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600 seconds (config.STAGE1_TIMEOUT_SECONDS). sonar-deep-research runs iterative multi-step search and can take several minutes per deal.</w:t>
            </w:r>
          </w:p>
        </w:tc>
      </w:tr>
    </w:tbl>
    <w:p>
      <w:pPr>
        <w:pStyle w:val="Heading2"/>
        <w:spacing w:after="120" w:before="300"/>
      </w:pPr>
      <w:r>
        <w:rPr>
          <w:rFonts w:ascii="Calibri" w:cs="Calibri" w:eastAsia="Calibri" w:hAnsi="Calibri"/>
          <w:b/>
          <w:bCs/>
          <w:color w:val="1A1A1A"/>
          <w:sz w:val="24"/>
          <w:szCs w:val="24"/>
        </w:rPr>
        <w:t xml:space="preserve">2.2 Concurrency</w:t>
      </w:r>
    </w:p>
    <w:p>
      <w:pPr>
        <w:spacing w:after="140" w:line="276"/>
      </w:pPr>
      <w:r>
        <w:rPr>
          <w:rFonts w:ascii="Calibri" w:cs="Calibri" w:eastAsia="Calibri" w:hAnsi="Calibri"/>
          <w:sz w:val="21"/>
          <w:szCs w:val="21"/>
        </w:rPr>
        <w:t xml:space="preserve">Stage 1 scores deals under a bounded asyncio.Semaphore, not fully in parallel: STAGE1_PARALLEL = 2 by default. This is deliberately lower than Stage 2's parallelism (STAGE2_PARALLEL = 3) because sonar-deep-research carries a much tighter rate limit than sonar-pro, as low as 5 requests per minute on a fresh Perplexity account, scaling with usage tier. The limit is conservative until the account's actual tier is confirmed; it is raised via env var, not by editing code.</w:t>
      </w:r>
    </w:p>
    <w:p>
      <w:pPr>
        <w:pStyle w:val="Heading2"/>
        <w:spacing w:after="120" w:before="300"/>
      </w:pPr>
      <w:r>
        <w:rPr>
          <w:rFonts w:ascii="Calibri" w:cs="Calibri" w:eastAsia="Calibri" w:hAnsi="Calibri"/>
          <w:b/>
          <w:bCs/>
          <w:color w:val="1A1A1A"/>
          <w:sz w:val="24"/>
          <w:szCs w:val="24"/>
        </w:rPr>
        <w:t xml:space="preserve">2.3 max_tokens history and why it matters</w:t>
      </w:r>
    </w:p>
    <w:p>
      <w:pPr>
        <w:spacing w:after="140" w:line="276"/>
      </w:pPr>
      <w:r>
        <w:rPr>
          <w:rFonts w:ascii="Calibri" w:cs="Calibri" w:eastAsia="Calibri" w:hAnsi="Calibri"/>
          <w:sz w:val="21"/>
          <w:szCs w:val="21"/>
        </w:rPr>
        <w:t xml:space="preserve">The three-tier rationale (Section 6) asks the model to produce 50+ grounded findings, five dimension-level syntheses, and one deal-level rationale, all inside one JSON response. This has a real history of truncation:</w:t>
      </w:r>
    </w:p>
    <w:p>
      <w:pPr>
        <w:pStyle w:val="ListParagraph"/>
        <w:numPr>
          <w:ilvl w:val="0"/>
          <w:numId w:val="2"/>
        </w:numPr>
        <w:spacing w:after="80" w:line="260"/>
      </w:pPr>
      <w:r>
        <w:rPr>
          <w:rFonts w:ascii="Calibri" w:cs="Calibri" w:eastAsia="Calibri" w:hAnsi="Calibri"/>
          <w:sz w:val="21"/>
          <w:szCs w:val="21"/>
        </w:rPr>
        <w:t xml:space="preserve">4000 tokens: too low.</w:t>
      </w:r>
    </w:p>
    <w:p>
      <w:pPr>
        <w:pStyle w:val="ListParagraph"/>
        <w:numPr>
          <w:ilvl w:val="0"/>
          <w:numId w:val="2"/>
        </w:numPr>
        <w:spacing w:after="80" w:line="260"/>
      </w:pPr>
      <w:r>
        <w:rPr>
          <w:rFonts w:ascii="Calibri" w:cs="Calibri" w:eastAsia="Calibri" w:hAnsi="Calibri"/>
          <w:sz w:val="21"/>
          <w:szCs w:val="21"/>
        </w:rPr>
        <w:t xml:space="preserve">8000 tokens: raised, still eventually too low once AI Score became the rubric's fifth full checklist dimension in v3.1 (it had been gate_only in v3.0 with no checklist).</w:t>
      </w:r>
    </w:p>
    <w:p>
      <w:pPr>
        <w:pStyle w:val="ListParagraph"/>
        <w:numPr>
          <w:ilvl w:val="0"/>
          <w:numId w:val="2"/>
        </w:numPr>
        <w:spacing w:after="80" w:line="260"/>
      </w:pPr>
      <w:r>
        <w:rPr>
          <w:rFonts w:ascii="Calibri" w:cs="Calibri" w:eastAsia="Calibri" w:hAnsi="Calibri"/>
          <w:sz w:val="21"/>
          <w:szCs w:val="21"/>
        </w:rPr>
        <w:t xml:space="preserve">10000 tokens: still truncated in production on 2026-07-14. A Research Chat run produced a 24000+ character raw response that was cut off mid-sentence inside the Terms dimension's evidence field, after all five scored dimensions had already been written in full.</w:t>
      </w:r>
    </w:p>
    <w:p>
      <w:pPr>
        <w:spacing w:after="140" w:line="276"/>
      </w:pPr>
      <w:r>
        <w:rPr>
          <w:rFonts w:ascii="Calibri" w:cs="Calibri" w:eastAsia="Calibri" w:hAnsi="Calibri"/>
          <w:sz w:val="21"/>
          <w:szCs w:val="21"/>
        </w:rPr>
        <w:t xml:space="preserve">The root cause was not an unlucky ceiling. It was that the earlier prompt language ("keep findings tight," "roughly one sentence") was not a real constraint: the model was actually writing 30-50+ word findings per subcategory item, not the approximately 12 words that phrasing implied. The fix applied in prompts/stage1_fit.md was to put a hard, explicit word cap on every field (12 words per finding, 25 words per dimension evidence, 40 words per deal rationale) instead of relying on soft language. A compliant response under those caps should land around 2000-3500 tokens of actual JSON content. max_tokens is currently set to 12000, well above that compliant estimate, as margin for imperfect adherence on any single run, without reverting to the earlier 24000 emergency ceiling now that the actual size driver (unbounded finding length, not the token budget) has been addressed at the prompt level.</w:t>
      </w:r>
    </w:p>
    <w:p>
      <w:pPr>
        <w:pStyle w:val="Heading2"/>
        <w:spacing w:after="120" w:before="300"/>
      </w:pPr>
      <w:r>
        <w:rPr>
          <w:rFonts w:ascii="Calibri" w:cs="Calibri" w:eastAsia="Calibri" w:hAnsi="Calibri"/>
          <w:b/>
          <w:bCs/>
          <w:color w:val="1A1A1A"/>
          <w:sz w:val="24"/>
          <w:szCs w:val="24"/>
        </w:rPr>
        <w:t xml:space="preserve">2.4 Retry and failure behavior inside the API call</w:t>
      </w:r>
    </w:p>
    <w:p>
      <w:pPr>
        <w:spacing w:after="140" w:line="276"/>
      </w:pPr>
      <w:r>
        <w:rPr>
          <w:rFonts w:ascii="Calibri" w:cs="Calibri" w:eastAsia="Calibri" w:hAnsi="Calibri"/>
          <w:sz w:val="21"/>
          <w:szCs w:val="21"/>
        </w:rPr>
        <w:t xml:space="preserve">research.perplexity() retries up to 2 attempts total, but only on genuinely empty content. If the response comes back with a non-empty message.content, it is returned immediately even if finish_reason is length (truncated). Truncation is logged (model, usage, content length) but does not trigger a retry; it is left for the JSON parser downstream to fail on, which is what actually surfaces the truncation as an error (Section 2.5). Only a fully empty content string after a 200 response triggers the second attempt, logged with model, finish_reason, and usage. This distinction exists because sonar-deep-research has documented rough edges (Perplexity's own community forum reported empty or malformed responses for this specific model as of June 2026); a 200 with truly empty content is a known, not hypothetical, failure mode.</w:t>
      </w:r>
    </w:p>
    <w:p>
      <w:pPr>
        <w:pStyle w:val="Heading2"/>
        <w:spacing w:after="120" w:before="300"/>
      </w:pPr>
      <w:r>
        <w:rPr>
          <w:rFonts w:ascii="Calibri" w:cs="Calibri" w:eastAsia="Calibri" w:hAnsi="Calibri"/>
          <w:b/>
          <w:bCs/>
          <w:color w:val="1A1A1A"/>
          <w:sz w:val="24"/>
          <w:szCs w:val="24"/>
        </w:rPr>
        <w:t xml:space="preserve">2.5 Turning the response into structured data</w:t>
      </w:r>
    </w:p>
    <w:p>
      <w:pPr>
        <w:spacing w:after="140" w:line="276"/>
      </w:pPr>
      <w:r>
        <w:rPr>
          <w:rFonts w:ascii="Calibri" w:cs="Calibri" w:eastAsia="Calibri" w:hAnsi="Calibri"/>
          <w:sz w:val="21"/>
          <w:szCs w:val="21"/>
        </w:rPr>
        <w:t xml:space="preserve">research.extract_json() is the only thing standing between Perplexity's raw text and a usable Python dict. It does, in order:</w:t>
      </w:r>
    </w:p>
    <w:p>
      <w:pPr>
        <w:pStyle w:val="ListParagraph"/>
        <w:numPr>
          <w:ilvl w:val="0"/>
          <w:numId w:val="3"/>
        </w:numPr>
        <w:spacing w:after="80" w:line="260"/>
      </w:pPr>
      <w:r>
        <w:rPr>
          <w:rFonts w:ascii="Calibri" w:cs="Calibri" w:eastAsia="Calibri" w:hAnsi="Calibri"/>
          <w:sz w:val="21"/>
          <w:szCs w:val="21"/>
        </w:rPr>
        <w:t xml:space="preserve">Strips a leading/trailing markdown code fence (```json ... ```), if present.</w:t>
      </w:r>
    </w:p>
    <w:p>
      <w:pPr>
        <w:pStyle w:val="ListParagraph"/>
        <w:numPr>
          <w:ilvl w:val="0"/>
          <w:numId w:val="3"/>
        </w:numPr>
        <w:spacing w:after="80" w:line="260"/>
      </w:pPr>
      <w:r>
        <w:rPr>
          <w:rFonts w:ascii="Calibri" w:cs="Calibri" w:eastAsia="Calibri" w:hAnsi="Calibri"/>
          <w:sz w:val="21"/>
          <w:szCs w:val="21"/>
        </w:rPr>
        <w:t xml:space="preserve">Strips a &lt;think&gt;...&lt;/think&gt; chain-of-thought preamble. Reasoning models (sonar-reasoning-pro, sonar-deep-research) prepend this block to message.content, and it routinely contains its own stray braces (the model is often thinking out loud about the very JSON shape it is about to produce), which would otherwise confuse a naive bracket search.</w:t>
      </w:r>
    </w:p>
    <w:p>
      <w:pPr>
        <w:pStyle w:val="ListParagraph"/>
        <w:numPr>
          <w:ilvl w:val="0"/>
          <w:numId w:val="3"/>
        </w:numPr>
        <w:spacing w:after="80" w:line="260"/>
      </w:pPr>
      <w:r>
        <w:rPr>
          <w:rFonts w:ascii="Calibri" w:cs="Calibri" w:eastAsia="Calibri" w:hAnsi="Calibri"/>
          <w:sz w:val="21"/>
          <w:szCs w:val="21"/>
        </w:rPr>
        <w:t xml:space="preserve">Scans for both { / } and [ / ] pairs. For every possible opening-bracket position in the text (not just the first one found), it walks forward tracking bracket depth until depth returns to zero, then attempts json.loads on that exact span. If parsing fails, it does not give up: it continues scanning from the next candidate opening bracket. This matters because one malformed or truncated brace region should not abandon the search for a valid one elsewhere in the same response.</w:t>
      </w:r>
    </w:p>
    <w:p>
      <w:pPr>
        <w:spacing w:after="140" w:line="276"/>
      </w:pPr>
      <w:r>
        <w:rPr>
          <w:rFonts w:ascii="Calibri" w:cs="Calibri" w:eastAsia="Calibri" w:hAnsi="Calibri"/>
          <w:sz w:val="21"/>
          <w:szCs w:val="21"/>
        </w:rPr>
        <w:t xml:space="preserve">If no candidate span parses, extract_json() returns None. stage1_fit.py treats a non-dict result the same way: it coerces to an empty dict and proceeds to look for a params key that will not be there.</w:t>
      </w:r>
    </w:p>
    <w:p>
      <w:pPr>
        <w:spacing w:after="140" w:line="276"/>
      </w:pPr>
      <w:r>
        <w:rPr>
          <w:rFonts w:ascii="Calibri" w:cs="Calibri" w:eastAsia="Calibri" w:hAnsi="Calibri"/>
          <w:b/>
          <w:bCs/>
          <w:sz w:val="21"/>
          <w:szCs w:val="21"/>
        </w:rPr>
        <w:t xml:space="preserve">If parsed.get("params") is empty or absent, score_deal() raises a ValueError</w:t>
      </w:r>
      <w:r>
        <w:rPr>
          <w:rFonts w:ascii="Calibri" w:cs="Calibri" w:eastAsia="Calibri" w:hAnsi="Calibri"/>
          <w:sz w:val="21"/>
          <w:szCs w:val="21"/>
        </w:rPr>
        <w:t xml:space="preserve">, rather than silently scoring an empty result. This is deliberate: a real rubric score can never be exactly 0.0, because the rubric floor is 1 per dimension (minimum real fit_score = 1.0). Reserving 0.0 as a sentinel is what lets downstream code tell "scoring broke" apart from "we scored it and it is genuinely weak." The error message includes the deal name, the raw response length, the first 300 characters, and the last 300 characters. The tail is included deliberately, not just the head: because the three-tier rationale asks for 40+ findings in one JSON blob, the first suspect when parsing fails on well-formed-looking content is max_tokens truncation mid-object, and the tail is what shows that at a glance.</w:t>
      </w:r>
    </w:p>
    <w:p>
      <w:pPr>
        <w:pStyle w:val="Heading2"/>
        <w:spacing w:after="120" w:before="300"/>
      </w:pPr>
      <w:r>
        <w:rPr>
          <w:rFonts w:ascii="Calibri" w:cs="Calibri" w:eastAsia="Calibri" w:hAnsi="Calibri"/>
          <w:b/>
          <w:bCs/>
          <w:color w:val="1A1A1A"/>
          <w:sz w:val="24"/>
          <w:szCs w:val="24"/>
        </w:rPr>
        <w:t xml:space="preserve">2.6 What happens when a deal fails to score</w:t>
      </w:r>
    </w:p>
    <w:p>
      <w:pPr>
        <w:spacing w:after="140" w:line="276"/>
      </w:pPr>
      <w:r>
        <w:rPr>
          <w:rFonts w:ascii="Calibri" w:cs="Calibri" w:eastAsia="Calibri" w:hAnsi="Calibri"/>
          <w:sz w:val="21"/>
          <w:szCs w:val="21"/>
        </w:rPr>
        <w:t xml:space="preserve">stage1_fit.run() wraps every deal's score_deal() call in a try/except inside its own asyncio.Semaphore-guarded coroutine, so one deal's failure cannot take down the batch. On any exception, that deal gets a DealFit with:</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600"/>
        <w:gridCol w:w="6300"/>
      </w:tblGrid>
      <w:tr>
        <w:trPr>
          <w:tblHeader/>
        </w:trPr>
        <w:tc>
          <w:tcPr>
            <w:tcW w:type="dxa" w:w="2600"/>
            <w:shd w:fill="E8E8E8" w:val="clear"/>
            <w:tcMar>
              <w:top w:type="dxa" w:w="60"/>
              <w:left w:type="dxa" w:w="100"/>
              <w:bottom w:type="dxa" w:w="60"/>
              <w:right w:type="dxa" w:w="100"/>
            </w:tcMar>
            <w:vAlign w:val="center"/>
          </w:tcPr>
          <w:p>
            <w:pPr>
              <w:jc w:val="left"/>
            </w:pPr>
            <w:r>
              <w:rPr>
                <w:rFonts w:ascii="Calibri" w:cs="Calibri" w:eastAsia="Calibri" w:hAnsi="Calibri"/>
                <w:b/>
                <w:bCs/>
                <w:color w:val="1A1A1A"/>
                <w:sz w:val="19"/>
                <w:szCs w:val="19"/>
              </w:rPr>
              <w:t xml:space="preserve">Field</w:t>
            </w:r>
          </w:p>
        </w:tc>
        <w:tc>
          <w:tcPr>
            <w:tcW w:type="dxa" w:w="6300"/>
            <w:shd w:fill="E8E8E8" w:val="clear"/>
            <w:tcMar>
              <w:top w:type="dxa" w:w="60"/>
              <w:left w:type="dxa" w:w="100"/>
              <w:bottom w:type="dxa" w:w="60"/>
              <w:right w:type="dxa" w:w="100"/>
            </w:tcMar>
            <w:vAlign w:val="center"/>
          </w:tcPr>
          <w:p>
            <w:pPr>
              <w:jc w:val="left"/>
            </w:pPr>
            <w:r>
              <w:rPr>
                <w:rFonts w:ascii="Calibri" w:cs="Calibri" w:eastAsia="Calibri" w:hAnsi="Calibri"/>
                <w:b/>
                <w:bCs/>
                <w:color w:val="1A1A1A"/>
                <w:sz w:val="19"/>
                <w:szCs w:val="19"/>
              </w:rPr>
              <w:t xml:space="preserve">Value on failure</w:t>
            </w:r>
          </w:p>
        </w:tc>
      </w:tr>
      <w:tr>
        <w:tc>
          <w:tcPr>
            <w:tcW w:type="dxa" w:w="26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fit_score</w:t>
            </w:r>
          </w:p>
        </w:tc>
        <w:tc>
          <w:tcPr>
            <w:tcW w:type="dxa" w:w="63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0.0 (the sentinel value, impossible from a real score)</w:t>
            </w:r>
          </w:p>
        </w:tc>
      </w:tr>
      <w:tr>
        <w:tc>
          <w:tcPr>
            <w:tcW w:type="dxa" w:w="2600"/>
            <w:shd w:fill="F4F4F4"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quality_tier</w:t>
            </w:r>
          </w:p>
        </w:tc>
        <w:tc>
          <w:tcPr>
            <w:tcW w:type="dxa" w:w="6300"/>
            <w:shd w:fill="F4F4F4"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"error" (never the default "pass") so a broken scoring run cannot be mistaken for a real screening decision downstream, in Attio, hub pages, or email</w:t>
            </w:r>
          </w:p>
        </w:tc>
      </w:tr>
      <w:tr>
        <w:tc>
          <w:tcPr>
            <w:tcW w:type="dxa" w:w="26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gate</w:t>
            </w:r>
          </w:p>
        </w:tc>
        <w:tc>
          <w:tcPr>
            <w:tcW w:type="dxa" w:w="63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False</w:t>
            </w:r>
          </w:p>
        </w:tc>
      </w:tr>
      <w:tr>
        <w:tc>
          <w:tcPr>
            <w:tcW w:type="dxa" w:w="2600"/>
            <w:shd w:fill="F4F4F4"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rationale</w:t>
            </w:r>
          </w:p>
        </w:tc>
        <w:tc>
          <w:tcPr>
            <w:tcW w:type="dxa" w:w="6300"/>
            <w:shd w:fill="F4F4F4"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"scoring failed: {exception text}"</w:t>
            </w:r>
          </w:p>
        </w:tc>
      </w:tr>
      <w:tr>
        <w:tc>
          <w:tcPr>
            <w:tcW w:type="dxa" w:w="26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confidence</w:t>
            </w:r>
          </w:p>
        </w:tc>
        <w:tc>
          <w:tcPr>
            <w:tcW w:type="dxa" w:w="63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"low"</w:t>
            </w:r>
          </w:p>
        </w:tc>
      </w:tr>
    </w:tbl>
    <w:p>
      <w:pPr>
        <w:pStyle w:val="Heading1"/>
        <w:pBdr>
          <w:bottom w:val="single" w:color="1A1A1A" w:sz="6" w:space="4"/>
        </w:pBdr>
        <w:spacing w:after="200" w:before="400"/>
      </w:pPr>
      <w:r>
        <w:rPr>
          <w:rFonts w:ascii="Calibri" w:cs="Calibri" w:eastAsia="Calibri" w:hAnsi="Calibri"/>
          <w:b/>
          <w:bCs/>
          <w:color w:val="1A1A1A"/>
          <w:sz w:val="30"/>
          <w:szCs w:val="30"/>
        </w:rPr>
        <w:t xml:space="preserve">3. Pre-Score Gates</w:t>
      </w:r>
    </w:p>
    <w:p>
      <w:pPr>
        <w:spacing w:after="140" w:line="276"/>
      </w:pPr>
      <w:r>
        <w:rPr>
          <w:rFonts w:ascii="Calibri" w:cs="Calibri" w:eastAsia="Calibri" w:hAnsi="Calibri"/>
          <w:sz w:val="21"/>
          <w:szCs w:val="21"/>
        </w:rPr>
        <w:t xml:space="preserve">Before rubric scoring happens, the model itself (per instructions in prompts/stage1_fit.md, not separate code) runs two checks in order. These are prompt-level instructions the model is expected to follow; there is no code-level enforcement of either check on the input side.</w:t>
      </w:r>
    </w:p>
    <w:p>
      <w:pPr>
        <w:pStyle w:val="Heading2"/>
        <w:spacing w:after="120" w:before="300"/>
      </w:pPr>
      <w:r>
        <w:rPr>
          <w:rFonts w:ascii="Calibri" w:cs="Calibri" w:eastAsia="Calibri" w:hAnsi="Calibri"/>
          <w:b/>
          <w:bCs/>
          <w:color w:val="1A1A1A"/>
          <w:sz w:val="24"/>
          <w:szCs w:val="24"/>
        </w:rPr>
        <w:t xml:space="preserve">3.1 Geography gate</w:t>
      </w:r>
    </w:p>
    <w:p>
      <w:pPr>
        <w:spacing w:after="140" w:line="276"/>
      </w:pPr>
      <w:r>
        <w:rPr>
          <w:rFonts w:ascii="Calibri" w:cs="Calibri" w:eastAsia="Calibri" w:hAnsi="Calibri"/>
          <w:sz w:val="21"/>
          <w:szCs w:val="21"/>
        </w:rPr>
        <w:t xml:space="preserve">The company must be headquartered in North America or Europe. This is treated as a permanent scope boundary, not a timing issue: a company outside these regions does not come back into scope later. If this check fails, the model is instructed to skip detailed research entirely, score every rubric parameter 1, set hard_auto_pass to true with hard_auto_pass_reason stating the HQ location and that it falls outside the NA/Europe mandate, set watch_list to false, set confidence to high, and state this plainly in the rationale. It then goes straight to output; nothing downstream in the rubric gets a real evaluation.</w:t>
      </w:r>
    </w:p>
    <w:p>
      <w:pPr>
        <w:pStyle w:val="Heading2"/>
        <w:spacing w:after="120" w:before="300"/>
      </w:pPr>
      <w:r>
        <w:rPr>
          <w:rFonts w:ascii="Calibri" w:cs="Calibri" w:eastAsia="Calibri" w:hAnsi="Calibri"/>
          <w:b/>
          <w:bCs/>
          <w:color w:val="1A1A1A"/>
          <w:sz w:val="24"/>
          <w:szCs w:val="24"/>
        </w:rPr>
        <w:t xml:space="preserve">3.2 Stage gate</w:t>
      </w:r>
    </w:p>
    <w:p>
      <w:pPr>
        <w:spacing w:after="140" w:line="276"/>
      </w:pPr>
      <w:r>
        <w:rPr>
          <w:rFonts w:ascii="Calibri" w:cs="Calibri" w:eastAsia="Calibri" w:hAnsi="Calibri"/>
          <w:sz w:val="21"/>
          <w:szCs w:val="21"/>
        </w:rPr>
        <w:t xml:space="preserve">The round being raised must be Series B or later, including growth and late-stage rounds. Pre-seed, seed, and Series A are out of mandate for now. Unlike the geography gate, failing this check does not shortcut scoring: the model is instructed to still research and score the deal normally against the full rubric, with real evidence and real 1-4 scores per dimension. It sets watch_list to true and states in the rationale that the deal is out of mandate on stage alone and is being filed for re-evaluation at Series B+, explicitly not being judged as weak on its merits.</w:t>
      </w:r>
    </w:p>
    <w:p>
      <w:pPr>
        <w:spacing w:after="140" w:line="276"/>
      </w:pPr>
      <w:r>
        <w:rPr>
          <w:rFonts w:ascii="Calibri" w:cs="Calibri" w:eastAsia="Calibri" w:hAnsi="Calibri"/>
          <w:sz w:val="21"/>
          <w:szCs w:val="21"/>
        </w:rPr>
        <w:t xml:space="preserve">If the geography gate passes, the model proceeds to score normally, with hard_auto_pass left to whatever the rubric's own hard-auto-pass conditions determine (false for most deals) and watch_list set per the stage check above.</w:t>
      </w:r>
    </w:p>
    <w:p>
      <w:pPr>
        <w:pStyle w:val="Heading1"/>
        <w:pBdr>
          <w:bottom w:val="single" w:color="1A1A1A" w:sz="6" w:space="4"/>
        </w:pBdr>
        <w:spacing w:after="200" w:before="400"/>
      </w:pPr>
      <w:r>
        <w:rPr>
          <w:rFonts w:ascii="Calibri" w:cs="Calibri" w:eastAsia="Calibri" w:hAnsi="Calibri"/>
          <w:b/>
          <w:bCs/>
          <w:color w:val="1A1A1A"/>
          <w:sz w:val="30"/>
          <w:szCs w:val="30"/>
        </w:rPr>
        <w:t xml:space="preserve">4. The Six Dimensions</w:t>
      </w:r>
    </w:p>
    <w:p>
      <w:pPr>
        <w:spacing w:after="140" w:line="276"/>
      </w:pPr>
      <w:r>
        <w:rPr>
          <w:rFonts w:ascii="Calibri" w:cs="Calibri" w:eastAsia="Calibri" w:hAnsi="Calibri"/>
          <w:sz w:val="21"/>
          <w:szCs w:val="21"/>
        </w:rPr>
        <w:t xml:space="preserve">Defined once, in rubric.py's PARAMS list, and nowhere else; every prompt and every downstream consumer reads from this single source. Five dimensions are scored and weighted at exact parity. The sixth, Terms, is gate_only: the model still produces a real 1-4 read for it (needed for hard_auto_pass detection and the one-pager's six-row display), but it contributes zero weight to either average below.</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3400"/>
        <w:gridCol w:w="1300"/>
        <w:gridCol w:w="4200"/>
      </w:tblGrid>
      <w:tr>
        <w:trPr>
          <w:tblHeader/>
        </w:trPr>
        <w:tc>
          <w:tcPr>
            <w:tcW w:type="dxa" w:w="3400"/>
            <w:shd w:fill="E8E8E8" w:val="clear"/>
            <w:tcMar>
              <w:top w:type="dxa" w:w="60"/>
              <w:left w:type="dxa" w:w="100"/>
              <w:bottom w:type="dxa" w:w="60"/>
              <w:right w:type="dxa" w:w="100"/>
            </w:tcMar>
            <w:vAlign w:val="center"/>
          </w:tcPr>
          <w:p>
            <w:pPr>
              <w:jc w:val="left"/>
            </w:pPr>
            <w:r>
              <w:rPr>
                <w:rFonts w:ascii="Calibri" w:cs="Calibri" w:eastAsia="Calibri" w:hAnsi="Calibri"/>
                <w:b/>
                <w:bCs/>
                <w:color w:val="1A1A1A"/>
                <w:sz w:val="19"/>
                <w:szCs w:val="19"/>
              </w:rPr>
              <w:t xml:space="preserve">Dimension</w:t>
            </w:r>
          </w:p>
        </w:tc>
        <w:tc>
          <w:tcPr>
            <w:tcW w:type="dxa" w:w="1300"/>
            <w:shd w:fill="E8E8E8" w:val="clear"/>
            <w:tcMar>
              <w:top w:type="dxa" w:w="60"/>
              <w:left w:type="dxa" w:w="100"/>
              <w:bottom w:type="dxa" w:w="60"/>
              <w:right w:type="dxa" w:w="100"/>
            </w:tcMar>
            <w:vAlign w:val="center"/>
          </w:tcPr>
          <w:p>
            <w:pPr>
              <w:jc w:val="left"/>
            </w:pPr>
            <w:r>
              <w:rPr>
                <w:rFonts w:ascii="Calibri" w:cs="Calibri" w:eastAsia="Calibri" w:hAnsi="Calibri"/>
                <w:b/>
                <w:bCs/>
                <w:color w:val="1A1A1A"/>
                <w:sz w:val="19"/>
                <w:szCs w:val="19"/>
              </w:rPr>
              <w:t xml:space="preserve">Weight</w:t>
            </w:r>
          </w:p>
        </w:tc>
        <w:tc>
          <w:tcPr>
            <w:tcW w:type="dxa" w:w="4200"/>
            <w:shd w:fill="E8E8E8" w:val="clear"/>
            <w:tcMar>
              <w:top w:type="dxa" w:w="60"/>
              <w:left w:type="dxa" w:w="100"/>
              <w:bottom w:type="dxa" w:w="60"/>
              <w:right w:type="dxa" w:w="100"/>
            </w:tcMar>
            <w:vAlign w:val="center"/>
          </w:tcPr>
          <w:p>
            <w:pPr>
              <w:jc w:val="left"/>
            </w:pPr>
            <w:r>
              <w:rPr>
                <w:rFonts w:ascii="Calibri" w:cs="Calibri" w:eastAsia="Calibri" w:hAnsi="Calibri"/>
                <w:b/>
                <w:bCs/>
                <w:color w:val="1A1A1A"/>
                <w:sz w:val="19"/>
                <w:szCs w:val="19"/>
              </w:rPr>
              <w:t xml:space="preserve">What it measures</w:t>
            </w:r>
          </w:p>
        </w:tc>
      </w:tr>
      <w:tr>
        <w:tc>
          <w:tcPr>
            <w:tcW w:type="dxa" w:w="34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Lead / Round Dynamics</w:t>
            </w:r>
          </w:p>
        </w:tc>
        <w:tc>
          <w:tcPr>
            <w:tcW w:type="dxa" w:w="13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20%</w:t>
            </w:r>
          </w:p>
        </w:tc>
        <w:tc>
          <w:tcPr>
            <w:tcW w:type="dxa" w:w="42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GP tier, new money vs. re-up (verified), source-VC structural constraint, domain-strategic signal, access path quality</w:t>
            </w:r>
          </w:p>
        </w:tc>
      </w:tr>
      <w:tr>
        <w:tc>
          <w:tcPr>
            <w:tcW w:type="dxa" w:w="3400"/>
            <w:shd w:fill="F4F4F4"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Founder / Team Quality</w:t>
            </w:r>
          </w:p>
        </w:tc>
        <w:tc>
          <w:tcPr>
            <w:tcW w:type="dxa" w:w="1300"/>
            <w:shd w:fill="F4F4F4"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20%</w:t>
            </w:r>
          </w:p>
        </w:tc>
        <w:tc>
          <w:tcPr>
            <w:tcW w:type="dxa" w:w="4200"/>
            <w:shd w:fill="F4F4F4"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Track record, domain authority, execution history, integrity</w:t>
            </w:r>
          </w:p>
        </w:tc>
      </w:tr>
      <w:tr>
        <w:tc>
          <w:tcPr>
            <w:tcW w:type="dxa" w:w="34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Fundamentals</w:t>
            </w:r>
          </w:p>
        </w:tc>
        <w:tc>
          <w:tcPr>
            <w:tcW w:type="dxa" w:w="13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20%</w:t>
            </w:r>
          </w:p>
        </w:tc>
        <w:tc>
          <w:tcPr>
            <w:tcW w:type="dxa" w:w="42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Revenue, growth, NDR, burn, capital efficiency, moat strength</w:t>
            </w:r>
          </w:p>
        </w:tc>
      </w:tr>
      <w:tr>
        <w:tc>
          <w:tcPr>
            <w:tcW w:type="dxa" w:w="3400"/>
            <w:shd w:fill="F4F4F4"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Return Potential</w:t>
            </w:r>
          </w:p>
        </w:tc>
        <w:tc>
          <w:tcPr>
            <w:tcW w:type="dxa" w:w="1300"/>
            <w:shd w:fill="F4F4F4"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20%</w:t>
            </w:r>
          </w:p>
        </w:tc>
        <w:tc>
          <w:tcPr>
            <w:tcW w:type="dxa" w:w="4200"/>
            <w:shd w:fill="F4F4F4"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Realistic MOIC and IRR trajectory, secondary-market demand corroboration. No valuation caps.</w:t>
            </w:r>
          </w:p>
        </w:tc>
      </w:tr>
      <w:tr>
        <w:tc>
          <w:tcPr>
            <w:tcW w:type="dxa" w:w="34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AI Score</w:t>
            </w:r>
          </w:p>
        </w:tc>
        <w:tc>
          <w:tcPr>
            <w:tcW w:type="dxa" w:w="13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20%</w:t>
            </w:r>
          </w:p>
        </w:tc>
        <w:tc>
          <w:tcPr>
            <w:tcW w:type="dxa" w:w="42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Depth of AI moat: pure-play vs. data advantage vs. feature wrapper. No meaningful AI component is a hard auto-pass regardless of the rest.</w:t>
            </w:r>
          </w:p>
        </w:tc>
      </w:tr>
      <w:tr>
        <w:tc>
          <w:tcPr>
            <w:tcW w:type="dxa" w:w="3400"/>
            <w:shd w:fill="F4F4F4"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Terms</w:t>
            </w:r>
          </w:p>
        </w:tc>
        <w:tc>
          <w:tcPr>
            <w:tcW w:type="dxa" w:w="1300"/>
            <w:shd w:fill="F4F4F4"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0% (gate only)</w:t>
            </w:r>
          </w:p>
        </w:tc>
        <w:tc>
          <w:tcPr>
            <w:tcW w:type="dxa" w:w="4200"/>
            <w:shd w:fill="F4F4F4"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Carry, upfront fee, structure. Bad terms are a hard auto-pass trigger; otherwise not weighted.</w:t>
            </w:r>
          </w:p>
        </w:tc>
      </w:tr>
    </w:tbl>
    <w:p>
      <w:pPr>
        <w:spacing w:after="140" w:line="276"/>
      </w:pPr>
      <w:r>
        <w:rPr>
          <w:rFonts w:ascii="Calibri" w:cs="Calibri" w:eastAsia="Calibri" w:hAnsi="Calibri"/>
          <w:sz w:val="21"/>
          <w:szCs w:val="21"/>
        </w:rPr>
        <w:t xml:space="preserve">rubric.validate() asserts the five scored dimensions' weights sum to exactly 100 and raises ValueError if they do not. It runs automatically on every call to weighted_score().</w:t>
      </w:r>
    </w:p>
    <w:p>
      <w:pPr>
        <w:spacing w:after="140" w:line="276"/>
      </w:pPr>
      <w:r>
        <w:rPr>
          <w:rFonts w:ascii="Calibri" w:cs="Calibri" w:eastAsia="Calibri" w:hAnsi="Calibri"/>
          <w:b/>
          <w:bCs/>
          <w:sz w:val="21"/>
          <w:szCs w:val="21"/>
        </w:rPr>
        <w:t xml:space="preserve">Version note: </w:t>
      </w:r>
      <w:r>
        <w:rPr>
          <w:rFonts w:ascii="Calibri" w:cs="Calibri" w:eastAsia="Calibri" w:hAnsi="Calibri"/>
          <w:sz w:val="21"/>
          <w:szCs w:val="21"/>
        </w:rPr>
        <w:t xml:space="preserve">AI Score was gate_only in rubric v3.0 (pass/fail only). v3.1 made it a fully scored, equally-weighted dimension: the hard auto-pass on "no meaningful AI" still exists at its bottom anchor exactly as before, but whenever AI is genuinely present, its depth is now graded 1-4 on the same curve as the other four dimensions, not just pass/failed.</w:t>
      </w:r>
    </w:p>
    <w:p>
      <w:pPr>
        <w:pStyle w:val="Heading1"/>
        <w:pBdr>
          <w:bottom w:val="single" w:color="1A1A1A" w:sz="6" w:space="4"/>
        </w:pBdr>
        <w:spacing w:after="200" w:before="400"/>
      </w:pPr>
      <w:r>
        <w:rPr>
          <w:rFonts w:ascii="Calibri" w:cs="Calibri" w:eastAsia="Calibri" w:hAnsi="Calibri"/>
          <w:b/>
          <w:bCs/>
          <w:color w:val="1A1A1A"/>
          <w:sz w:val="30"/>
          <w:szCs w:val="30"/>
        </w:rPr>
        <w:t xml:space="preserve">5. Aggregation Math</w:t>
      </w:r>
    </w:p>
    <w:p>
      <w:pPr>
        <w:spacing w:after="140" w:line="276"/>
      </w:pPr>
      <w:r>
        <w:rPr>
          <w:rFonts w:ascii="Calibri" w:cs="Calibri" w:eastAsia="Calibri" w:hAnsi="Calibri"/>
          <w:sz w:val="21"/>
          <w:szCs w:val="21"/>
        </w:rPr>
        <w:t xml:space="preserve">Two functions in rubric.py compute the two numbers Stage 1 reports. Both operate on the same input: a dict mapping dimension key to a 1-4 score. A dimension missing from that dict counts as 0 in both functions, not skipped and not defaulted to a neutral value; this only matters if the model failed to emit a recognized key for that dimension.</w:t>
      </w:r>
    </w:p>
    <w:p>
      <w:pPr>
        <w:spacing w:after="80" w:before="200"/>
      </w:pPr>
      <w:r>
        <w:rPr>
          <w:rFonts w:ascii="Calibri" w:cs="Calibri" w:eastAsia="Calibri" w:hAnsi="Calibri"/>
          <w:b/>
          <w:bCs/>
          <w:color w:val="1A1A1A"/>
          <w:sz w:val="21"/>
          <w:szCs w:val="21"/>
        </w:rPr>
        <w:t xml:space="preserve">weighted_score(param_scores)</w:t>
      </w:r>
    </w:p>
    <w:p>
      <w:pPr>
        <w:spacing w:after="140" w:line="276"/>
      </w:pPr>
      <w:r>
        <w:rPr>
          <w:rFonts w:ascii="Consolas" w:cs="Consolas" w:eastAsia="Consolas" w:hAnsi="Consolas"/>
          <w:sz w:val="20"/>
          <w:szCs w:val="20"/>
        </w:rPr>
        <w:t xml:space="preserve">total = sum( param_scores.get(key, 0) * weight / 100  for each of the five scored dimensions )
return round(total, 1)</w:t>
      </w:r>
    </w:p>
    <w:p>
      <w:pPr>
        <w:spacing w:after="140" w:line="276"/>
      </w:pPr>
      <w:r>
        <w:rPr>
          <w:rFonts w:ascii="Calibri" w:cs="Calibri" w:eastAsia="Calibri" w:hAnsi="Calibri"/>
          <w:sz w:val="21"/>
          <w:szCs w:val="21"/>
        </w:rPr>
        <w:t xml:space="preserve">This is fit_score: the number that drives the gate. Terms never enters this sum.</w:t>
      </w:r>
    </w:p>
    <w:p>
      <w:pPr>
        <w:spacing w:after="80" w:before="200"/>
      </w:pPr>
      <w:r>
        <w:rPr>
          <w:rFonts w:ascii="Calibri" w:cs="Calibri" w:eastAsia="Calibri" w:hAnsi="Calibri"/>
          <w:b/>
          <w:bCs/>
          <w:color w:val="1A1A1A"/>
          <w:sz w:val="21"/>
          <w:szCs w:val="21"/>
        </w:rPr>
        <w:t xml:space="preserve">raw_score(param_scores)</w:t>
      </w:r>
    </w:p>
    <w:p>
      <w:pPr>
        <w:spacing w:after="140" w:line="276"/>
      </w:pPr>
      <w:r>
        <w:rPr>
          <w:rFonts w:ascii="Consolas" w:cs="Consolas" w:eastAsia="Consolas" w:hAnsi="Consolas"/>
          <w:sz w:val="20"/>
          <w:szCs w:val="20"/>
        </w:rPr>
        <w:t xml:space="preserve">return round( sum(scores for the five scored dimensions) / 5 , 1 )</w:t>
      </w:r>
    </w:p>
    <w:p>
      <w:pPr>
        <w:spacing w:after="140" w:line="276"/>
      </w:pPr>
      <w:r>
        <w:rPr>
          <w:rFonts w:ascii="Calibri" w:cs="Calibri" w:eastAsia="Calibri" w:hAnsi="Calibri"/>
          <w:sz w:val="21"/>
          <w:szCs w:val="21"/>
        </w:rPr>
        <w:t xml:space="preserve">This is the plain, unweighted mean over the same five dimensions, again excluding Terms.</w:t>
      </w:r>
    </w:p>
    <w:p>
      <w:pPr>
        <w:spacing w:after="140" w:line="276"/>
      </w:pPr>
      <w:r>
        <w:rPr>
          <w:rFonts w:ascii="Calibri" w:cs="Calibri" w:eastAsia="Calibri" w:hAnsi="Calibri"/>
          <w:sz w:val="21"/>
          <w:szCs w:val="21"/>
        </w:rPr>
        <w:t xml:space="preserve">At rubric v3.1, because all five scored dimensions sit at exactly 20% each, weighted_score and raw_score are numerically identical: both reduce to the mean of five numbers. They are kept as separate fields (fit_score and raw_score on the DealFit record) and separate functions on purpose, so that a future reweighting away from equal parity does not require a schema or pipeline change; the distinction already exists in the data model even though it currently has no numeric effect.</w:t>
      </w:r>
    </w:p>
    <w:p>
      <w:pPr>
        <w:pStyle w:val="Heading1"/>
        <w:pBdr>
          <w:bottom w:val="single" w:color="1A1A1A" w:sz="6" w:space="4"/>
        </w:pBdr>
        <w:spacing w:after="200" w:before="400"/>
      </w:pPr>
      <w:r>
        <w:rPr>
          <w:rFonts w:ascii="Calibri" w:cs="Calibri" w:eastAsia="Calibri" w:hAnsi="Calibri"/>
          <w:b/>
          <w:bCs/>
          <w:color w:val="1A1A1A"/>
          <w:sz w:val="30"/>
          <w:szCs w:val="30"/>
        </w:rPr>
        <w:t xml:space="preserve">6. The Three-Tier Rationale</w:t>
      </w:r>
    </w:p>
    <w:p>
      <w:pPr>
        <w:spacing w:after="140" w:line="276"/>
      </w:pPr>
      <w:r>
        <w:rPr>
          <w:rFonts w:ascii="Calibri" w:cs="Calibri" w:eastAsia="Calibri" w:hAnsi="Calibri"/>
          <w:sz w:val="21"/>
          <w:szCs w:val="21"/>
        </w:rPr>
        <w:t xml:space="preserve">The research record, not just the final number, is treated as the actual product of Stage 1. It is reported at three tiers, each rolling up into the next, and each with a hard word cap enforced at the prompt level (not validated in code):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5400"/>
      </w:tblGrid>
      <w:tr>
        <w:trPr>
          <w:tblHeader/>
        </w:trPr>
        <w:tc>
          <w:tcPr>
            <w:tcW w:type="dxa" w:w="1500"/>
            <w:shd w:fill="E8E8E8" w:val="clear"/>
            <w:tcMar>
              <w:top w:type="dxa" w:w="60"/>
              <w:left w:type="dxa" w:w="100"/>
              <w:bottom w:type="dxa" w:w="60"/>
              <w:right w:type="dxa" w:w="100"/>
            </w:tcMar>
            <w:vAlign w:val="center"/>
          </w:tcPr>
          <w:p>
            <w:pPr>
              <w:jc w:val="left"/>
            </w:pPr>
            <w:r>
              <w:rPr>
                <w:rFonts w:ascii="Calibri" w:cs="Calibri" w:eastAsia="Calibri" w:hAnsi="Calibri"/>
                <w:b/>
                <w:bCs/>
                <w:color w:val="1A1A1A"/>
                <w:sz w:val="19"/>
                <w:szCs w:val="19"/>
              </w:rPr>
              <w:t xml:space="preserve">Tier</w:t>
            </w:r>
          </w:p>
        </w:tc>
        <w:tc>
          <w:tcPr>
            <w:tcW w:type="dxa" w:w="2200"/>
            <w:shd w:fill="E8E8E8" w:val="clear"/>
            <w:tcMar>
              <w:top w:type="dxa" w:w="60"/>
              <w:left w:type="dxa" w:w="100"/>
              <w:bottom w:type="dxa" w:w="60"/>
              <w:right w:type="dxa" w:w="100"/>
            </w:tcMar>
            <w:vAlign w:val="center"/>
          </w:tcPr>
          <w:p>
            <w:pPr>
              <w:jc w:val="left"/>
            </w:pPr>
            <w:r>
              <w:rPr>
                <w:rFonts w:ascii="Calibri" w:cs="Calibri" w:eastAsia="Calibri" w:hAnsi="Calibri"/>
                <w:b/>
                <w:bCs/>
                <w:color w:val="1A1A1A"/>
                <w:sz w:val="19"/>
                <w:szCs w:val="19"/>
              </w:rPr>
              <w:t xml:space="preserve">JSON field</w:t>
            </w:r>
          </w:p>
        </w:tc>
        <w:tc>
          <w:tcPr>
            <w:tcW w:type="dxa" w:w="5400"/>
            <w:shd w:fill="E8E8E8" w:val="clear"/>
            <w:tcMar>
              <w:top w:type="dxa" w:w="60"/>
              <w:left w:type="dxa" w:w="100"/>
              <w:bottom w:type="dxa" w:w="60"/>
              <w:right w:type="dxa" w:w="100"/>
            </w:tcMar>
            <w:vAlign w:val="center"/>
          </w:tcPr>
          <w:p>
            <w:pPr>
              <w:jc w:val="left"/>
            </w:pPr>
            <w:r>
              <w:rPr>
                <w:rFonts w:ascii="Calibri" w:cs="Calibri" w:eastAsia="Calibri" w:hAnsi="Calibri"/>
                <w:b/>
                <w:bCs/>
                <w:color w:val="1A1A1A"/>
                <w:sz w:val="19"/>
                <w:szCs w:val="19"/>
              </w:rPr>
              <w:t xml:space="preserve">Rule</w:t>
            </w:r>
          </w:p>
        </w:tc>
      </w:tr>
      <w:tr>
        <w:tc>
          <w:tcPr>
            <w:tcW w:type="dxa" w:w="15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Point</w:t>
            </w:r>
          </w:p>
        </w:tc>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subcategories[].finding</w:t>
            </w:r>
          </w:p>
        </w:tc>
        <w:tc>
          <w:tcPr>
            <w:tcW w:type="dxa" w:w="54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For the five scored dimensions, work through every item on that dimension's 10-item checklist and report one grounded finding per item: a specific fact plus a source where available, or "none found" where genuinely absent. 12 words or fewer, one clause, no hedging or narration. terms has no checklist, so its subcategories array stays empty; its full finding goes directly into evidence instead.</w:t>
            </w:r>
          </w:p>
        </w:tc>
      </w:tr>
      <w:tr>
        <w:tc>
          <w:tcPr>
            <w:tcW w:type="dxa" w:w="1500"/>
            <w:shd w:fill="F4F4F4"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Dimension</w:t>
            </w:r>
          </w:p>
        </w:tc>
        <w:tc>
          <w:tcPr>
            <w:tcW w:type="dxa" w:w="2200"/>
            <w:shd w:fill="F4F4F4"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evidence</w:t>
            </w:r>
          </w:p>
        </w:tc>
        <w:tc>
          <w:tcPr>
            <w:tcW w:type="dxa" w:w="5400"/>
            <w:shd w:fill="F4F4F4"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Synthesis of that dimension's point-level findings into the verdict behind the 1-4 score. One sentence, 25 words or fewer. Not a restatement of any single finding and not a list recap.</w:t>
            </w:r>
          </w:p>
        </w:tc>
      </w:tr>
      <w:tr>
        <w:tc>
          <w:tcPr>
            <w:tcW w:type="dxa" w:w="15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Deal</w:t>
            </w:r>
          </w:p>
        </w:tc>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rationale</w:t>
            </w:r>
          </w:p>
        </w:tc>
        <w:tc>
          <w:tcPr>
            <w:tcW w:type="dxa" w:w="54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Synthesis across all five scored dimensions plus Terms. Two sentences, 40 words or fewer. States the overall read, with explicit thesis alignment or misalignment (Section 8).</w:t>
            </w:r>
          </w:p>
        </w:tc>
      </w:tr>
    </w:tbl>
    <w:p>
      <w:pPr>
        <w:spacing w:after="140" w:line="276"/>
      </w:pPr>
      <w:r>
        <w:rPr>
          <w:rFonts w:ascii="Calibri" w:cs="Calibri" w:eastAsia="Calibri" w:hAnsi="Calibri"/>
          <w:sz w:val="21"/>
          <w:szCs w:val="21"/>
        </w:rPr>
        <w:t xml:space="preserve">label on each subcategory finding is a 2-4 word tag (for example, "New money vs. re-up"), not the full checklist sentence copied from the rubric text; the checklist wording is for the model's reference, not for reproduction in the response.</w:t>
      </w:r>
    </w:p>
    <w:p>
      <w:pPr>
        <w:spacing w:after="140" w:line="276"/>
      </w:pPr>
      <w:r>
        <w:rPr>
          <w:rFonts w:ascii="Calibri" w:cs="Calibri" w:eastAsia="Calibri" w:hAnsi="Calibri"/>
          <w:sz w:val="21"/>
          <w:szCs w:val="21"/>
        </w:rPr>
        <w:t xml:space="preserve">These caps are enforced by instruction only, not by code: nothing in stage1_fit.py truncates or rejects an over-length finding. The caps exist because the response has a real, finite token budget (Section 2.3), and 50+ findings plus five dimension syntheses plus one deal rationale have to fit inside it in a single generation.</w:t>
      </w:r>
    </w:p>
    <w:p>
      <w:pPr>
        <w:pStyle w:val="Heading1"/>
        <w:pBdr>
          <w:bottom w:val="single" w:color="1A1A1A" w:sz="6" w:space="4"/>
        </w:pBdr>
        <w:spacing w:after="200" w:before="400"/>
      </w:pPr>
      <w:r>
        <w:rPr>
          <w:rFonts w:ascii="Calibri" w:cs="Calibri" w:eastAsia="Calibri" w:hAnsi="Calibri"/>
          <w:b/>
          <w:bCs/>
          <w:color w:val="1A1A1A"/>
          <w:sz w:val="30"/>
          <w:szCs w:val="30"/>
        </w:rPr>
        <w:t xml:space="preserve">7. Missing Data Is Not Bad Data</w:t>
      </w:r>
    </w:p>
    <w:p>
      <w:pPr>
        <w:spacing w:after="140" w:line="276"/>
      </w:pPr>
      <w:r>
        <w:rPr>
          <w:rFonts w:ascii="Calibri" w:cs="Calibri" w:eastAsia="Calibri" w:hAnsi="Calibri"/>
          <w:sz w:val="21"/>
          <w:szCs w:val="21"/>
        </w:rPr>
        <w:t xml:space="preserve">A score of 1 must mean the anchor is confirmed true, never "we could not find a number." Several anchors are written specifically so that missing or undisclosed data lands on a 2, not a 1. This is the rubric's single most load-bearing distinction, since private, later-stage companies routinely do not publish revenue, NDR, burn, or LTV/CAC.</w:t>
      </w:r>
    </w:p>
    <w:p>
      <w:pPr>
        <w:pStyle w:val="Heading2"/>
        <w:spacing w:after="120" w:before="300"/>
      </w:pPr>
      <w:r>
        <w:rPr>
          <w:rFonts w:ascii="Calibri" w:cs="Calibri" w:eastAsia="Calibri" w:hAnsi="Calibri"/>
          <w:b/>
          <w:bCs/>
          <w:color w:val="1A1A1A"/>
          <w:sz w:val="24"/>
          <w:szCs w:val="24"/>
        </w:rPr>
        <w:t xml:space="preserve">7.1 The estimation procedure (Fundamentals)</w:t>
      </w:r>
    </w:p>
    <w:p>
      <w:pPr>
        <w:spacing w:after="140" w:line="276"/>
      </w:pPr>
      <w:r>
        <w:rPr>
          <w:rFonts w:ascii="Calibri" w:cs="Calibri" w:eastAsia="Calibri" w:hAnsi="Calibri"/>
          <w:sz w:val="21"/>
          <w:szCs w:val="21"/>
        </w:rPr>
        <w:t xml:space="preserve">Before conceding a gap, the model is required to work through three steps in order:</w:t>
      </w:r>
    </w:p>
    <w:p>
      <w:pPr>
        <w:pStyle w:val="ListParagraph"/>
        <w:numPr>
          <w:ilvl w:val="0"/>
          <w:numId w:val="4"/>
        </w:numPr>
        <w:spacing w:after="80" w:line="260"/>
      </w:pPr>
      <w:r>
        <w:rPr>
          <w:rFonts w:ascii="Calibri" w:cs="Calibri" w:eastAsia="Calibri" w:hAnsi="Calibri"/>
          <w:sz w:val="21"/>
          <w:szCs w:val="21"/>
        </w:rPr>
        <w:t xml:space="preserve">Search press and funding coverage, and Crunchbase- or PitchBook-style estimates, thoroughly.</w:t>
      </w:r>
    </w:p>
    <w:p>
      <w:pPr>
        <w:pStyle w:val="ListParagraph"/>
        <w:numPr>
          <w:ilvl w:val="0"/>
          <w:numId w:val="4"/>
        </w:numPr>
        <w:spacing w:after="80" w:line="260"/>
      </w:pPr>
      <w:r>
        <w:rPr>
          <w:rFonts w:ascii="Calibri" w:cs="Calibri" w:eastAsia="Calibri" w:hAnsi="Calibri"/>
          <w:sz w:val="21"/>
          <w:szCs w:val="21"/>
        </w:rPr>
        <w:t xml:space="preserve">Check founder or executive podcast appearances, conference talks, and interviews for informally-stated metrics.</w:t>
      </w:r>
    </w:p>
    <w:p>
      <w:pPr>
        <w:pStyle w:val="ListParagraph"/>
        <w:numPr>
          <w:ilvl w:val="0"/>
          <w:numId w:val="4"/>
        </w:numPr>
        <w:spacing w:after="80" w:line="260"/>
      </w:pPr>
      <w:r>
        <w:rPr>
          <w:rFonts w:ascii="Calibri" w:cs="Calibri" w:eastAsia="Calibri" w:hAnsi="Calibri"/>
          <w:sz w:val="21"/>
          <w:szCs w:val="21"/>
        </w:rPr>
        <w:t xml:space="preserve">If a real number still is not findable, triangulate an ESTIMATED range: carry forward the revenue multiple implied by a prior disclosed round (that round's revenue at that round's valuation) to the current valuation, cross-checked against a second estimate built from comp-set revenue multiples applied to the current valuation. Report both estimates when they diverge rather than forcing a single number.</w:t>
      </w:r>
    </w:p>
    <w:p>
      <w:pPr>
        <w:spacing w:after="140" w:line="276"/>
      </w:pPr>
      <w:r>
        <w:rPr>
          <w:rFonts w:ascii="Calibri" w:cs="Calibri" w:eastAsia="Calibri" w:hAnsi="Calibri"/>
          <w:sz w:val="21"/>
          <w:szCs w:val="21"/>
        </w:rPr>
        <w:t xml:space="preserve">An ESTIMATED figure scores on its own merits, 2, 3, or 4, and is never itself a 1; a 1 is reserved for a confirmed bad number. It also caps Diligence Confidence at MEDIUM, never HIGH, and it can never by itself trigger the Fundamentals hard auto-pass, which still requires a confirmed disclosure of weak numbers.</w:t>
      </w:r>
    </w:p>
    <w:p>
      <w:pPr>
        <w:spacing w:after="140" w:line="276"/>
      </w:pPr>
      <w:r>
        <w:rPr>
          <w:rFonts w:ascii="Calibri" w:cs="Calibri" w:eastAsia="Calibri" w:hAnsi="Calibri"/>
          <w:sz w:val="21"/>
          <w:szCs w:val="21"/>
        </w:rPr>
        <w:t xml:space="preserve">NOT PUBLIC and a flat 2 is the last resort, used only when no prior-round data or usable comps exist at all. Even then, moat and defensibility, business model quality, and press-evidenced impact or scale (enterprise logos, market penetration, analyst characterization of traction) are still required to inform the score rather than simply excusing a default 2.</w:t>
      </w:r>
    </w:p>
    <w:p>
      <w:pPr>
        <w:spacing w:after="140" w:line="276"/>
      </w:pPr>
      <w:r>
        <w:rPr>
          <w:rFonts w:ascii="Calibri" w:cs="Calibri" w:eastAsia="Calibri" w:hAnsi="Calibri"/>
          <w:sz w:val="21"/>
          <w:szCs w:val="21"/>
        </w:rPr>
        <w:t xml:space="preserve">The same search-harder-before-conceding standard applies to Founder / Team Quality: LinkedIn history, past-company outcomes, press, and conference or podcast appearances must be exhausted before landing on [unverified]. That flag is for when the trail genuinely runs out, not a default for a quick look.</w:t>
      </w:r>
    </w:p>
    <w:p>
      <w:pPr>
        <w:pStyle w:val="Heading2"/>
        <w:spacing w:after="120" w:before="300"/>
      </w:pPr>
      <w:r>
        <w:rPr>
          <w:rFonts w:ascii="Calibri" w:cs="Calibri" w:eastAsia="Calibri" w:hAnsi="Calibri"/>
          <w:b/>
          <w:bCs/>
          <w:color w:val="1A1A1A"/>
          <w:sz w:val="24"/>
          <w:szCs w:val="24"/>
        </w:rPr>
        <w:t xml:space="preserve">7.2 Confirmed weak numbers vs. absence</w:t>
      </w:r>
    </w:p>
    <w:p>
      <w:pPr>
        <w:spacing w:after="140" w:line="276"/>
      </w:pPr>
      <w:r>
        <w:rPr>
          <w:rFonts w:ascii="Calibri" w:cs="Calibri" w:eastAsia="Calibri" w:hAnsi="Calibri"/>
          <w:sz w:val="21"/>
          <w:szCs w:val="21"/>
        </w:rPr>
        <w:t xml:space="preserve">This is a distinct fact pattern from disclosure gaps. A company that discloses genuinely weak numbers (sub-$5M ARR, sub-40% growth) is a real 1 on Fundamentals, full stop. A pre-revenue or pre-commercial company, with nothing to disclose and nothing to estimate from, also lands on a genuine weak score, not a data-availability gap; the distinction the rubric draws is disclosure, not existence.</w:t>
      </w:r>
    </w:p>
    <w:p>
      <w:pPr>
        <w:pStyle w:val="Heading2"/>
        <w:spacing w:after="120" w:before="300"/>
      </w:pPr>
      <w:r>
        <w:rPr>
          <w:rFonts w:ascii="Calibri" w:cs="Calibri" w:eastAsia="Calibri" w:hAnsi="Calibri"/>
          <w:b/>
          <w:bCs/>
          <w:color w:val="1A1A1A"/>
          <w:sz w:val="24"/>
          <w:szCs w:val="24"/>
        </w:rPr>
        <w:t xml:space="preserve">7.3 Diligence Confidence</w:t>
      </w:r>
    </w:p>
    <w:p>
      <w:pPr>
        <w:spacing w:after="140" w:line="276"/>
      </w:pPr>
      <w:r>
        <w:rPr>
          <w:rFonts w:ascii="Calibri" w:cs="Calibri" w:eastAsia="Calibri" w:hAnsi="Calibri"/>
          <w:sz w:val="21"/>
          <w:szCs w:val="21"/>
        </w:rPr>
        <w:t xml:space="preserve">Reported separately from the numeric score, in the confidence field, so a thinly-sourced 3.4 is never presented as equivalent to a well-documented 3.4:</w:t>
      </w:r>
    </w:p>
    <w:p>
      <w:pPr>
        <w:pStyle w:val="ListParagraph"/>
        <w:numPr>
          <w:ilvl w:val="0"/>
          <w:numId w:val="2"/>
        </w:numPr>
        <w:spacing w:after="80" w:line="260"/>
      </w:pPr>
      <w:r>
        <w:rPr>
          <w:rFonts w:ascii="Calibri" w:cs="Calibri" w:eastAsia="Calibri" w:hAnsi="Calibri"/>
          <w:sz w:val="21"/>
          <w:szCs w:val="21"/>
        </w:rPr>
        <w:t xml:space="preserve">HIGH: strong internal and external data; score is reliable. Rare at Stage 1, since it is web-research-only with no internal deck access.</w:t>
      </w:r>
    </w:p>
    <w:p>
      <w:pPr>
        <w:pStyle w:val="ListParagraph"/>
        <w:numPr>
          <w:ilvl w:val="0"/>
          <w:numId w:val="2"/>
        </w:numPr>
        <w:spacing w:after="80" w:line="260"/>
      </w:pPr>
      <w:r>
        <w:rPr>
          <w:rFonts w:ascii="Calibri" w:cs="Calibri" w:eastAsia="Calibri" w:hAnsi="Calibri"/>
          <w:sz w:val="21"/>
          <w:szCs w:val="21"/>
        </w:rPr>
        <w:t xml:space="preserve">MEDIUM: some verified data, some gaps; score is directionally right (solid press coverage, or Crunchbase- or Sacra-style estimates).</w:t>
      </w:r>
    </w:p>
    <w:p>
      <w:pPr>
        <w:pStyle w:val="ListParagraph"/>
        <w:numPr>
          <w:ilvl w:val="0"/>
          <w:numId w:val="2"/>
        </w:numPr>
        <w:spacing w:after="80" w:line="260"/>
      </w:pPr>
      <w:r>
        <w:rPr>
          <w:rFonts w:ascii="Calibri" w:cs="Calibri" w:eastAsia="Calibri" w:hAnsi="Calibri"/>
          <w:sz w:val="21"/>
          <w:szCs w:val="21"/>
        </w:rPr>
        <w:t xml:space="preserve">LOW: mostly public information, thin disclosure; score is preliminary. This is the expected, normal outcome for a private company that does not publish financials, not itself a strike against the company.</w:t>
      </w:r>
    </w:p>
    <w:p>
      <w:r>
        <w:br w:type="page"/>
      </w:r>
    </w:p>
    <w:p>
      <w:pPr>
        <w:pStyle w:val="Heading1"/>
        <w:pBdr>
          <w:bottom w:val="single" w:color="1A1A1A" w:sz="6" w:space="4"/>
        </w:pBdr>
        <w:spacing w:after="200" w:before="400"/>
      </w:pPr>
      <w:r>
        <w:rPr>
          <w:rFonts w:ascii="Calibri" w:cs="Calibri" w:eastAsia="Calibri" w:hAnsi="Calibri"/>
          <w:b/>
          <w:bCs/>
          <w:color w:val="1A1A1A"/>
          <w:sz w:val="30"/>
          <w:szCs w:val="30"/>
        </w:rPr>
        <w:t xml:space="preserve">8. Dimension Anchors and Checklists</w:t>
      </w:r>
    </w:p>
    <w:p>
      <w:pPr>
        <w:spacing w:after="140" w:line="276"/>
      </w:pPr>
      <w:r>
        <w:rPr>
          <w:rFonts w:ascii="Calibri" w:cs="Calibri" w:eastAsia="Calibri" w:hAnsi="Calibri"/>
          <w:sz w:val="21"/>
          <w:szCs w:val="21"/>
        </w:rPr>
        <w:t xml:space="preserve">The full 1-4 anchor language for each dimension, and the 10-item subcategory checklist the model works through before committing to that dimension's score. The checklist is diagnostic, not additively scored: the JSON output still carries exactly one 1-4 score per dimension, with the sharpest 2-3 findings surfaced in evidence, not a checkbox transcript.</w:t>
      </w:r>
    </w:p>
    <w:p>
      <w:pPr>
        <w:pStyle w:val="Heading2"/>
        <w:spacing w:after="120" w:before="300"/>
      </w:pPr>
      <w:r>
        <w:rPr>
          <w:rFonts w:ascii="Calibri" w:cs="Calibri" w:eastAsia="Calibri" w:hAnsi="Calibri"/>
          <w:b/>
          <w:bCs/>
          <w:color w:val="1A1A1A"/>
          <w:sz w:val="24"/>
          <w:szCs w:val="24"/>
        </w:rPr>
        <w:t xml:space="preserve">8.1 Lead / Round Dynamics (20%)</w:t>
      </w:r>
    </w:p>
    <w:p>
      <w:pPr>
        <w:spacing w:after="140" w:line="276"/>
      </w:pPr>
      <w:r>
        <w:rPr>
          <w:rFonts w:ascii="Calibri" w:cs="Calibri" w:eastAsia="Calibri" w:hAnsi="Calibri"/>
          <w:sz w:val="21"/>
          <w:szCs w:val="21"/>
        </w:rPr>
        <w:t xml:space="preserve">The primary first-filter signal. A Tier 1+ fund leading with new money at Series B+ is what brings a deal into the ID8 funnel; everything else evaluates on top of that signal. Always note NEW (first time on the cap table) or RE-UP (existing investor increasing position).</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900"/>
        <w:gridCol w:w="8000"/>
      </w:tblGrid>
      <w:tr>
        <w:trPr>
          <w:tblHeader/>
        </w:trPr>
        <w:tc>
          <w:tcPr>
            <w:tcW w:type="dxa" w:w="900"/>
            <w:shd w:fill="E8E8E8" w:val="clear"/>
            <w:tcMar>
              <w:top w:type="dxa" w:w="60"/>
              <w:left w:type="dxa" w:w="100"/>
              <w:bottom w:type="dxa" w:w="60"/>
              <w:right w:type="dxa" w:w="100"/>
            </w:tcMar>
            <w:vAlign w:val="center"/>
          </w:tcPr>
          <w:p>
            <w:pPr>
              <w:jc w:val="left"/>
            </w:pPr>
            <w:r>
              <w:rPr>
                <w:rFonts w:ascii="Calibri" w:cs="Calibri" w:eastAsia="Calibri" w:hAnsi="Calibri"/>
                <w:b/>
                <w:bCs/>
                <w:color w:val="1A1A1A"/>
                <w:sz w:val="19"/>
                <w:szCs w:val="19"/>
              </w:rPr>
              <w:t xml:space="preserve">Score</w:t>
            </w:r>
          </w:p>
        </w:tc>
        <w:tc>
          <w:tcPr>
            <w:tcW w:type="dxa" w:w="8000"/>
            <w:shd w:fill="E8E8E8" w:val="clear"/>
            <w:tcMar>
              <w:top w:type="dxa" w:w="60"/>
              <w:left w:type="dxa" w:w="100"/>
              <w:bottom w:type="dxa" w:w="60"/>
              <w:right w:type="dxa" w:w="100"/>
            </w:tcMar>
            <w:vAlign w:val="center"/>
          </w:tcPr>
          <w:p>
            <w:pPr>
              <w:jc w:val="left"/>
            </w:pPr>
            <w:r>
              <w:rPr>
                <w:rFonts w:ascii="Calibri" w:cs="Calibri" w:eastAsia="Calibri" w:hAnsi="Calibri"/>
                <w:b/>
                <w:bCs/>
                <w:color w:val="1A1A1A"/>
                <w:sz w:val="19"/>
                <w:szCs w:val="19"/>
              </w:rPr>
              <w:t xml:space="preserve">Anchor</w:t>
            </w:r>
          </w:p>
        </w:tc>
      </w:tr>
      <w:tr>
        <w:tc>
          <w:tcPr>
            <w:tcW w:type="dxa" w:w="900"/>
            <w:tcMar>
              <w:top w:type="dxa" w:w="60"/>
              <w:left w:type="dxa" w:w="100"/>
              <w:bottom w:type="dxa" w:w="60"/>
              <w:right w:type="dxa" w:w="100"/>
            </w:tcMar>
            <w:vAlign w:val="center"/>
          </w:tcPr>
          <w:p>
            <w:pPr>
              <w:jc w:val="left"/>
            </w:pPr>
            <w:r>
              <w:rPr>
                <w:rFonts w:ascii="Calibri" w:cs="Calibri" w:eastAsia="Calibri" w:hAnsi="Calibri"/>
                <w:b/>
                <w:bCs/>
                <w:color w:val="1A1A1A"/>
                <w:sz w:val="19"/>
                <w:szCs w:val="19"/>
              </w:rPr>
              <w:t xml:space="preserve">4</w:t>
            </w:r>
          </w:p>
        </w:tc>
        <w:tc>
          <w:tcPr>
            <w:tcW w:type="dxa" w:w="80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New-money lead from a Tier 1+ firm, primary, Series B+. Direct co-invest access confirmed.</w:t>
            </w:r>
          </w:p>
        </w:tc>
      </w:tr>
      <w:tr>
        <w:tc>
          <w:tcPr>
            <w:tcW w:type="dxa" w:w="900"/>
            <w:tcMar>
              <w:top w:type="dxa" w:w="60"/>
              <w:left w:type="dxa" w:w="100"/>
              <w:bottom w:type="dxa" w:w="60"/>
              <w:right w:type="dxa" w:w="100"/>
            </w:tcMar>
            <w:vAlign w:val="center"/>
          </w:tcPr>
          <w:p>
            <w:pPr>
              <w:jc w:val="left"/>
            </w:pPr>
            <w:r>
              <w:rPr>
                <w:rFonts w:ascii="Calibri" w:cs="Calibri" w:eastAsia="Calibri" w:hAnsi="Calibri"/>
                <w:b/>
                <w:bCs/>
                <w:color w:val="1A1A1A"/>
                <w:sz w:val="19"/>
                <w:szCs w:val="19"/>
              </w:rPr>
              <w:t xml:space="preserve">3</w:t>
            </w:r>
          </w:p>
        </w:tc>
        <w:tc>
          <w:tcPr>
            <w:tcW w:type="dxa" w:w="80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Two paths, marked 3 for a standard case or 3* for the Domain-Strategic path: a Tier 1 VC re-upping with strong conviction at Series B+ with direct access, or a Domain-Strategic institutional lead (Section 8.1.1).</w:t>
            </w:r>
          </w:p>
        </w:tc>
      </w:tr>
      <w:tr>
        <w:tc>
          <w:tcPr>
            <w:tcW w:type="dxa" w:w="900"/>
            <w:tcMar>
              <w:top w:type="dxa" w:w="60"/>
              <w:left w:type="dxa" w:w="100"/>
              <w:bottom w:type="dxa" w:w="60"/>
              <w:right w:type="dxa" w:w="100"/>
            </w:tcMar>
            <w:vAlign w:val="center"/>
          </w:tcPr>
          <w:p>
            <w:pPr>
              <w:jc w:val="left"/>
            </w:pPr>
            <w:r>
              <w:rPr>
                <w:rFonts w:ascii="Calibri" w:cs="Calibri" w:eastAsia="Calibri" w:hAnsi="Calibri"/>
                <w:b/>
                <w:bCs/>
                <w:color w:val="1A1A1A"/>
                <w:sz w:val="19"/>
                <w:szCs w:val="19"/>
              </w:rPr>
              <w:t xml:space="preserve">2</w:t>
            </w:r>
          </w:p>
        </w:tc>
        <w:tc>
          <w:tcPr>
            <w:tcW w:type="dxa" w:w="80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Non-Tier-1 VC lead at Series B+, or any lead at Series A or earlier (stage always caps at 2). Soft pass via weight drag, not a kill.</w:t>
            </w:r>
          </w:p>
        </w:tc>
      </w:tr>
      <w:tr>
        <w:tc>
          <w:tcPr>
            <w:tcW w:type="dxa" w:w="900"/>
            <w:tcMar>
              <w:top w:type="dxa" w:w="60"/>
              <w:left w:type="dxa" w:w="100"/>
              <w:bottom w:type="dxa" w:w="60"/>
              <w:right w:type="dxa" w:w="100"/>
            </w:tcMar>
            <w:vAlign w:val="center"/>
          </w:tcPr>
          <w:p>
            <w:pPr>
              <w:jc w:val="left"/>
            </w:pPr>
            <w:r>
              <w:rPr>
                <w:rFonts w:ascii="Calibri" w:cs="Calibri" w:eastAsia="Calibri" w:hAnsi="Calibri"/>
                <w:b/>
                <w:bCs/>
                <w:color w:val="B00020"/>
                <w:sz w:val="19"/>
                <w:szCs w:val="19"/>
              </w:rPr>
              <w:t xml:space="preserve">1</w:t>
            </w:r>
          </w:p>
        </w:tc>
        <w:tc>
          <w:tcPr>
            <w:tcMar>
              <w:top w:type="dxa" w:w="60"/>
              <w:left w:type="dxa" w:w="100"/>
              <w:bottom w:type="dxa" w:w="60"/>
              <w:right w:type="dxa" w:w="100"/>
            </w:tcMar>
            <w:vAlign w:val="center"/>
          </w:tcPr>
          <w:p>
            <w:pPr>
              <w:jc w:val="left"/>
            </w:pPr>
            <w:r>
              <w:rPr>
                <w:rFonts w:ascii="Calibri" w:cs="Calibri" w:eastAsia="Calibri" w:hAnsi="Calibri"/>
                <w:b/>
                <w:bCs/>
                <w:color w:val="B00020"/>
                <w:sz w:val="19"/>
                <w:szCs w:val="19"/>
              </w:rPr>
              <w:t xml:space="preserve">Insider bridge, anonymous SPV, CVC with no strategic relevance, or secondary with no credible access path.</w:t>
            </w:r>
          </w:p>
        </w:tc>
      </w:tr>
    </w:tbl>
    <w:p>
      <w:pPr>
        <w:spacing w:after="80" w:before="200"/>
      </w:pPr>
      <w:r>
        <w:rPr>
          <w:rFonts w:ascii="Calibri" w:cs="Calibri" w:eastAsia="Calibri" w:hAnsi="Calibri"/>
          <w:b/>
          <w:bCs/>
          <w:color w:val="1A1A1A"/>
          <w:sz w:val="21"/>
          <w:szCs w:val="21"/>
        </w:rPr>
        <w:t xml:space="preserve">8.1.1 Tier definitions</w:t>
      </w:r>
    </w:p>
    <w:p>
      <w:pPr>
        <w:spacing w:after="140" w:line="276"/>
      </w:pPr>
      <w:r>
        <w:rPr>
          <w:rFonts w:ascii="Calibri" w:cs="Calibri" w:eastAsia="Calibri" w:hAnsi="Calibri"/>
          <w:sz w:val="21"/>
          <w:szCs w:val="21"/>
        </w:rPr>
        <w:t xml:space="preserve">Tier 1+ (Score 4 lead): Sequoia, General Catalyst, Accel, Khosla Ventures, Founders Fund, Benchmark, Index Ventures, Thrive Capital, ICONIQ Capital, Union Square Ventures, Bessemer, Lightspeed, Bain Capital Ventures.</w:t>
      </w:r>
    </w:p>
    <w:p>
      <w:pPr>
        <w:spacing w:after="140" w:line="276"/>
      </w:pPr>
      <w:r>
        <w:rPr>
          <w:rFonts w:ascii="Calibri" w:cs="Calibri" w:eastAsia="Calibri" w:hAnsi="Calibri"/>
          <w:sz w:val="21"/>
          <w:szCs w:val="21"/>
        </w:rPr>
        <w:t xml:space="preserve">Tier 1 (Score 3 lead): Andreessen Horowitz, Kleiner Perkins, Insight Partners, IVP, TCV, Ribbit Capital, Notable Capital (formerly GGV), New Enterprise Associates, Dragoneer, Battery Ventures, Valor Equity, Addition, BOND Capital, Oak HC/FT, Coatue, Lux Capital, 8VC, Menlo Ventures, Greenoaks Capital, DST Global. Under internal revisit, treated as Tier 1 but flagged [list under revisit] in the evidence: Spark Capital, Greylock, First Round, Firstmark, Greycroft, GV.</w:t>
      </w:r>
    </w:p>
    <w:p>
      <w:pPr>
        <w:spacing w:after="140" w:line="276"/>
      </w:pPr>
      <w:r>
        <w:rPr>
          <w:rFonts w:ascii="Calibri" w:cs="Calibri" w:eastAsia="Calibri" w:hAnsi="Calibri"/>
          <w:sz w:val="21"/>
          <w:szCs w:val="21"/>
        </w:rPr>
        <w:t xml:space="preserve">Domain-Strategic (Score 3*): a large institutional player whose core business is the market the company operates in, so its entry is a strategic validation signal, not merely a financial one. Founding precedent: NYSE/ICE leading Polymarket's $600M round, since the exchange is the prediction-market venue itself. Other qualifying patterns: Nvidia leading an AI infrastructure company, a major bank leading a fintech, a health system leading a clinical AI company. Generic corporate CVCs and regional funds do not qualify; there must be genuine domain asymmetry.</w:t>
      </w:r>
    </w:p>
    <w:p>
      <w:pPr>
        <w:spacing w:after="80" w:before="200"/>
      </w:pPr>
      <w:r>
        <w:rPr>
          <w:rFonts w:ascii="Calibri" w:cs="Calibri" w:eastAsia="Calibri" w:hAnsi="Calibri"/>
          <w:b/>
          <w:bCs/>
          <w:color w:val="1A1A1A"/>
          <w:sz w:val="21"/>
          <w:szCs w:val="21"/>
        </w:rPr>
        <w:t xml:space="preserve">8.1.2 Backtest calibration</w:t>
      </w:r>
    </w:p>
    <w:p>
      <w:pPr>
        <w:spacing w:after="140" w:line="276"/>
      </w:pPr>
      <w:r>
        <w:rPr>
          <w:rFonts w:ascii="Calibri" w:cs="Calibri" w:eastAsia="Calibri" w:hAnsi="Calibri"/>
          <w:sz w:val="21"/>
          <w:szCs w:val="21"/>
        </w:rPr>
        <w:t xml:space="preserve">From ID8 Growth Opportunities Fund I's LP deck, p.14 ("Quantitatively Validated Systematic Investment Process"). This backtest, run against the broader Series B/C/D universe, validates new-money Tier-1 leads specifically. It says nothing about re-up leads, which is exactly why a re-up claim must be verified rather than assumed.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300"/>
      </w:tblGrid>
      <w:tr>
        <w:trPr>
          <w:tblHeader/>
        </w:trPr>
        <w:tc>
          <w:tcPr>
            <w:tcW w:type="dxa" w:w="2400"/>
            <w:shd w:fill="E8E8E8" w:val="clear"/>
            <w:tcMar>
              <w:top w:type="dxa" w:w="60"/>
              <w:left w:type="dxa" w:w="100"/>
              <w:bottom w:type="dxa" w:w="60"/>
              <w:right w:type="dxa" w:w="100"/>
            </w:tcMar>
            <w:vAlign w:val="center"/>
          </w:tcPr>
          <w:p>
            <w:pPr>
              <w:jc w:val="left"/>
            </w:pPr>
            <w:r>
              <w:rPr>
                <w:rFonts w:ascii="Calibri" w:cs="Calibri" w:eastAsia="Calibri" w:hAnsi="Calibri"/>
                <w:b/>
                <w:bCs/>
                <w:color w:val="1A1A1A"/>
                <w:sz w:val="19"/>
                <w:szCs w:val="19"/>
              </w:rPr>
              <w:t xml:space="preserve">Stage</w:t>
            </w:r>
          </w:p>
        </w:tc>
        <w:tc>
          <w:tcPr>
            <w:tcW w:type="dxa" w:w="3300"/>
            <w:shd w:fill="E8E8E8" w:val="clear"/>
            <w:tcMar>
              <w:top w:type="dxa" w:w="60"/>
              <w:left w:type="dxa" w:w="100"/>
              <w:bottom w:type="dxa" w:w="60"/>
              <w:right w:type="dxa" w:w="100"/>
            </w:tcMar>
            <w:vAlign w:val="center"/>
          </w:tcPr>
          <w:p>
            <w:pPr>
              <w:jc w:val="left"/>
            </w:pPr>
            <w:r>
              <w:rPr>
                <w:rFonts w:ascii="Calibri" w:cs="Calibri" w:eastAsia="Calibri" w:hAnsi="Calibri"/>
                <w:b/>
                <w:bCs/>
                <w:color w:val="1A1A1A"/>
                <w:sz w:val="19"/>
                <w:szCs w:val="19"/>
              </w:rPr>
              <w:t xml:space="preserve">New-money Tier-1 avg MOIC</w:t>
            </w:r>
          </w:p>
        </w:tc>
        <w:tc>
          <w:tcPr>
            <w:tcW w:type="dxa" w:w="3300"/>
            <w:shd w:fill="E8E8E8" w:val="clear"/>
            <w:tcMar>
              <w:top w:type="dxa" w:w="60"/>
              <w:left w:type="dxa" w:w="100"/>
              <w:bottom w:type="dxa" w:w="60"/>
              <w:right w:type="dxa" w:w="100"/>
            </w:tcMar>
            <w:vAlign w:val="center"/>
          </w:tcPr>
          <w:p>
            <w:pPr>
              <w:jc w:val="left"/>
            </w:pPr>
            <w:r>
              <w:rPr>
                <w:rFonts w:ascii="Calibri" w:cs="Calibri" w:eastAsia="Calibri" w:hAnsi="Calibri"/>
                <w:b/>
                <w:bCs/>
                <w:color w:val="1A1A1A"/>
                <w:sz w:val="19"/>
                <w:szCs w:val="19"/>
              </w:rPr>
              <w:t xml:space="preserve">Full stage universe avg MOIC</w:t>
            </w:r>
          </w:p>
        </w:tc>
      </w:tr>
      <w:tr>
        <w:tc>
          <w:tcPr>
            <w:tcW w:type="dxa" w:w="24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Series B</w:t>
            </w:r>
          </w:p>
        </w:tc>
        <w:tc>
          <w:tcPr>
            <w:tcW w:type="dxa" w:w="33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14.3x</w:t>
            </w:r>
          </w:p>
        </w:tc>
        <w:tc>
          <w:tcPr>
            <w:tcW w:type="dxa" w:w="33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6.4x</w:t>
            </w:r>
          </w:p>
        </w:tc>
      </w:tr>
      <w:tr>
        <w:tc>
          <w:tcPr>
            <w:tcW w:type="dxa" w:w="2400"/>
            <w:shd w:fill="F4F4F4"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Series C</w:t>
            </w:r>
          </w:p>
        </w:tc>
        <w:tc>
          <w:tcPr>
            <w:tcW w:type="dxa" w:w="3300"/>
            <w:shd w:fill="F4F4F4"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7.0x</w:t>
            </w:r>
          </w:p>
        </w:tc>
        <w:tc>
          <w:tcPr>
            <w:tcW w:type="dxa" w:w="3300"/>
            <w:shd w:fill="F4F4F4"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4.2x</w:t>
            </w:r>
          </w:p>
        </w:tc>
      </w:tr>
      <w:tr>
        <w:tc>
          <w:tcPr>
            <w:tcW w:type="dxa" w:w="24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Series D</w:t>
            </w:r>
          </w:p>
        </w:tc>
        <w:tc>
          <w:tcPr>
            <w:tcW w:type="dxa" w:w="33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7.8x</w:t>
            </w:r>
          </w:p>
        </w:tc>
        <w:tc>
          <w:tcPr>
            <w:tcW w:type="dxa" w:w="33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3.8x</w:t>
            </w:r>
          </w:p>
        </w:tc>
      </w:tr>
    </w:tbl>
    <w:p>
      <w:pPr>
        <w:spacing w:after="140" w:line="276"/>
      </w:pPr>
      <w:r>
        <w:rPr>
          <w:rFonts w:ascii="Calibri" w:cs="Calibri" w:eastAsia="Calibri" w:hAnsi="Calibri"/>
          <w:sz w:val="21"/>
          <w:szCs w:val="21"/>
        </w:rPr>
        <w:t xml:space="preserve">Before scoring a re-up lead at the same tier as new money, the model is required to verify via cap table history or prior-round disclosures that it is in fact a re-up. A re-up claim taken at face value from a press release or company statement, with no corroborating cap table evidence, is flagged in the evidence rather than scored as confirmed.</w:t>
      </w:r>
    </w:p>
    <w:p>
      <w:pPr>
        <w:spacing w:after="80" w:before="200"/>
      </w:pPr>
      <w:r>
        <w:rPr>
          <w:rFonts w:ascii="Calibri" w:cs="Calibri" w:eastAsia="Calibri" w:hAnsi="Calibri"/>
          <w:b/>
          <w:bCs/>
          <w:color w:val="1A1A1A"/>
          <w:sz w:val="21"/>
          <w:szCs w:val="21"/>
        </w:rPr>
        <w:t xml:space="preserve">8.1.3 Subcategory checklist</w:t>
      </w:r>
    </w:p>
    <w:p>
      <w:pPr>
        <w:pStyle w:val="ListParagraph"/>
        <w:numPr>
          <w:ilvl w:val="0"/>
          <w:numId w:val="5"/>
        </w:numPr>
        <w:spacing w:after="80" w:line="260"/>
      </w:pPr>
      <w:r>
        <w:rPr>
          <w:rFonts w:ascii="Calibri" w:cs="Calibri" w:eastAsia="Calibri" w:hAnsi="Calibri"/>
          <w:sz w:val="21"/>
          <w:szCs w:val="21"/>
        </w:rPr>
        <w:t xml:space="preserve">Lead investor tier: Tier 1+ / Tier 1 / Domain-Strategic / neither, per the tier lists above.</w:t>
      </w:r>
    </w:p>
    <w:p>
      <w:pPr>
        <w:pStyle w:val="ListParagraph"/>
        <w:numPr>
          <w:ilvl w:val="0"/>
          <w:numId w:val="5"/>
        </w:numPr>
        <w:spacing w:after="80" w:line="260"/>
      </w:pPr>
      <w:r>
        <w:rPr>
          <w:rFonts w:ascii="Calibri" w:cs="Calibri" w:eastAsia="Calibri" w:hAnsi="Calibri"/>
          <w:sz w:val="21"/>
          <w:szCs w:val="21"/>
        </w:rPr>
        <w:t xml:space="preserve">New money vs. re-up, verified, not assumed: check cap table history or prior fund stake per the backtest calibration; do not accept a re-up claim at face value.</w:t>
      </w:r>
    </w:p>
    <w:p>
      <w:pPr>
        <w:pStyle w:val="ListParagraph"/>
        <w:numPr>
          <w:ilvl w:val="0"/>
          <w:numId w:val="5"/>
        </w:numPr>
        <w:spacing w:after="80" w:line="260"/>
      </w:pPr>
      <w:r>
        <w:rPr>
          <w:rFonts w:ascii="Calibri" w:cs="Calibri" w:eastAsia="Calibri" w:hAnsi="Calibri"/>
          <w:sz w:val="21"/>
          <w:szCs w:val="21"/>
        </w:rPr>
        <w:t xml:space="preserve">Round stage fit vs. mandate: Series B+ is in-mandate; Series A or earlier is Watch List regardless of score.</w:t>
      </w:r>
    </w:p>
    <w:p>
      <w:pPr>
        <w:pStyle w:val="ListParagraph"/>
        <w:numPr>
          <w:ilvl w:val="0"/>
          <w:numId w:val="5"/>
        </w:numPr>
        <w:spacing w:after="80" w:line="260"/>
      </w:pPr>
      <w:r>
        <w:rPr>
          <w:rFonts w:ascii="Calibri" w:cs="Calibri" w:eastAsia="Calibri" w:hAnsi="Calibri"/>
          <w:sz w:val="21"/>
          <w:szCs w:val="21"/>
        </w:rPr>
        <w:t xml:space="preserve">Access path quality: direct co-invest, single-layer SPV, multi-layer SPV, or secondary, and information rights at each.</w:t>
      </w:r>
    </w:p>
    <w:p>
      <w:pPr>
        <w:pStyle w:val="ListParagraph"/>
        <w:numPr>
          <w:ilvl w:val="0"/>
          <w:numId w:val="5"/>
        </w:numPr>
        <w:spacing w:after="80" w:line="260"/>
      </w:pPr>
      <w:r>
        <w:rPr>
          <w:rFonts w:ascii="Calibri" w:cs="Calibri" w:eastAsia="Calibri" w:hAnsi="Calibri"/>
          <w:sz w:val="21"/>
          <w:szCs w:val="21"/>
        </w:rPr>
        <w:t xml:space="preserve">Domain-strategic signal (if the lead is not a traditional VC): genuine category asymmetry (the NYSE/ICE-Polymarket precedent) vs. a generic corporate CVC.</w:t>
      </w:r>
    </w:p>
    <w:p>
      <w:pPr>
        <w:pStyle w:val="ListParagraph"/>
        <w:numPr>
          <w:ilvl w:val="0"/>
          <w:numId w:val="5"/>
        </w:numPr>
        <w:spacing w:after="80" w:line="260"/>
      </w:pPr>
      <w:r>
        <w:rPr>
          <w:rFonts w:ascii="Calibri" w:cs="Calibri" w:eastAsia="Calibri" w:hAnsi="Calibri"/>
          <w:sz w:val="21"/>
          <w:szCs w:val="21"/>
        </w:rPr>
        <w:t xml:space="preserve">Source VC structural constraint: is the source fund providing ID8's access structurally pro-rata-constrained (small fund size relative to check, late fund vintage, concentration-capped), or opportunistically selling access it could actually afford to keep? Check fund size, vintage, and existing portfolio concentration.</w:t>
      </w:r>
    </w:p>
    <w:p>
      <w:pPr>
        <w:pStyle w:val="ListParagraph"/>
        <w:numPr>
          <w:ilvl w:val="0"/>
          <w:numId w:val="5"/>
        </w:numPr>
        <w:spacing w:after="80" w:line="260"/>
      </w:pPr>
      <w:r>
        <w:rPr>
          <w:rFonts w:ascii="Calibri" w:cs="Calibri" w:eastAsia="Calibri" w:hAnsi="Calibri"/>
          <w:sz w:val="21"/>
          <w:szCs w:val="21"/>
        </w:rPr>
        <w:t xml:space="preserve">Lead conviction: is the specific leading GP personally and reputationally committed (partner bio, prior fund performance, personal co-invest), or is this a junior partner's deal at a name-brand fund?</w:t>
      </w:r>
    </w:p>
    <w:p>
      <w:pPr>
        <w:pStyle w:val="ListParagraph"/>
        <w:numPr>
          <w:ilvl w:val="0"/>
          <w:numId w:val="5"/>
        </w:numPr>
        <w:spacing w:after="80" w:line="260"/>
      </w:pPr>
      <w:r>
        <w:rPr>
          <w:rFonts w:ascii="Calibri" w:cs="Calibri" w:eastAsia="Calibri" w:hAnsi="Calibri"/>
          <w:sz w:val="21"/>
          <w:szCs w:val="21"/>
        </w:rPr>
        <w:t xml:space="preserve">Institutional momentum: are existing Tier-1 investors from prior rounds following on alongside the new lead? This is a distinct, corroborating signal from new-money-lead, not the same fact.</w:t>
      </w:r>
    </w:p>
    <w:p>
      <w:pPr>
        <w:pStyle w:val="ListParagraph"/>
        <w:numPr>
          <w:ilvl w:val="0"/>
          <w:numId w:val="5"/>
        </w:numPr>
        <w:spacing w:after="80" w:line="260"/>
      </w:pPr>
      <w:r>
        <w:rPr>
          <w:rFonts w:ascii="Calibri" w:cs="Calibri" w:eastAsia="Calibri" w:hAnsi="Calibri"/>
          <w:sz w:val="21"/>
          <w:szCs w:val="21"/>
        </w:rPr>
        <w:t xml:space="preserve">Syndicate breadth and allocation dynamics: oversubscription, number of credible co-investors, ID8's actual allocation relative to demand.</w:t>
      </w:r>
    </w:p>
    <w:p>
      <w:pPr>
        <w:pStyle w:val="ListParagraph"/>
        <w:numPr>
          <w:ilvl w:val="0"/>
          <w:numId w:val="5"/>
        </w:numPr>
        <w:spacing w:after="80" w:line="260"/>
      </w:pPr>
      <w:r>
        <w:rPr>
          <w:rFonts w:ascii="Calibri" w:cs="Calibri" w:eastAsia="Calibri" w:hAnsi="Calibri"/>
          <w:sz w:val="21"/>
          <w:szCs w:val="21"/>
        </w:rPr>
        <w:t xml:space="preserve">Round timing and motivation: opportunistic (positive inflection, multiple term sheet options) vs. defensive (runway extension, limited alternatives).</w:t>
      </w:r>
    </w:p>
    <w:p>
      <w:pPr>
        <w:pStyle w:val="Heading2"/>
        <w:spacing w:after="120" w:before="300"/>
      </w:pPr>
      <w:r>
        <w:rPr>
          <w:rFonts w:ascii="Calibri" w:cs="Calibri" w:eastAsia="Calibri" w:hAnsi="Calibri"/>
          <w:b/>
          <w:bCs/>
          <w:color w:val="1A1A1A"/>
          <w:sz w:val="24"/>
          <w:szCs w:val="24"/>
        </w:rPr>
        <w:t xml:space="preserve">8.2 Founder / Team Quality (20%)</w:t>
      </w:r>
    </w:p>
    <w:p>
      <w:pPr>
        <w:spacing w:after="140" w:line="276"/>
      </w:pPr>
      <w:r>
        <w:rPr>
          <w:rFonts w:ascii="Calibri" w:cs="Calibri" w:eastAsia="Calibri" w:hAnsi="Calibri"/>
          <w:sz w:val="21"/>
          <w:szCs w:val="21"/>
        </w:rPr>
        <w:t xml:space="preserve">Scores the people independently of product metrics. If information is genuinely limited, the model is instructed to land on 2 and flag [unverified] rather than guessing up or down.</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900"/>
        <w:gridCol w:w="8000"/>
      </w:tblGrid>
      <w:tr>
        <w:trPr>
          <w:tblHeader/>
        </w:trPr>
        <w:tc>
          <w:tcPr>
            <w:tcW w:type="dxa" w:w="900"/>
            <w:shd w:fill="E8E8E8" w:val="clear"/>
            <w:tcMar>
              <w:top w:type="dxa" w:w="60"/>
              <w:left w:type="dxa" w:w="100"/>
              <w:bottom w:type="dxa" w:w="60"/>
              <w:right w:type="dxa" w:w="100"/>
            </w:tcMar>
            <w:vAlign w:val="center"/>
          </w:tcPr>
          <w:p>
            <w:pPr>
              <w:jc w:val="left"/>
            </w:pPr>
            <w:r>
              <w:rPr>
                <w:rFonts w:ascii="Calibri" w:cs="Calibri" w:eastAsia="Calibri" w:hAnsi="Calibri"/>
                <w:b/>
                <w:bCs/>
                <w:color w:val="1A1A1A"/>
                <w:sz w:val="19"/>
                <w:szCs w:val="19"/>
              </w:rPr>
              <w:t xml:space="preserve">Score</w:t>
            </w:r>
          </w:p>
        </w:tc>
        <w:tc>
          <w:tcPr>
            <w:tcW w:type="dxa" w:w="8000"/>
            <w:shd w:fill="E8E8E8" w:val="clear"/>
            <w:tcMar>
              <w:top w:type="dxa" w:w="60"/>
              <w:left w:type="dxa" w:w="100"/>
              <w:bottom w:type="dxa" w:w="60"/>
              <w:right w:type="dxa" w:w="100"/>
            </w:tcMar>
            <w:vAlign w:val="center"/>
          </w:tcPr>
          <w:p>
            <w:pPr>
              <w:jc w:val="left"/>
            </w:pPr>
            <w:r>
              <w:rPr>
                <w:rFonts w:ascii="Calibri" w:cs="Calibri" w:eastAsia="Calibri" w:hAnsi="Calibri"/>
                <w:b/>
                <w:bCs/>
                <w:color w:val="1A1A1A"/>
                <w:sz w:val="19"/>
                <w:szCs w:val="19"/>
              </w:rPr>
              <w:t xml:space="preserve">Anchor</w:t>
            </w:r>
          </w:p>
        </w:tc>
      </w:tr>
      <w:tr>
        <w:tc>
          <w:tcPr>
            <w:tcW w:type="dxa" w:w="900"/>
            <w:tcMar>
              <w:top w:type="dxa" w:w="60"/>
              <w:left w:type="dxa" w:w="100"/>
              <w:bottom w:type="dxa" w:w="60"/>
              <w:right w:type="dxa" w:w="100"/>
            </w:tcMar>
            <w:vAlign w:val="center"/>
          </w:tcPr>
          <w:p>
            <w:pPr>
              <w:jc w:val="left"/>
            </w:pPr>
            <w:r>
              <w:rPr>
                <w:rFonts w:ascii="Calibri" w:cs="Calibri" w:eastAsia="Calibri" w:hAnsi="Calibri"/>
                <w:b/>
                <w:bCs/>
                <w:color w:val="1A1A1A"/>
                <w:sz w:val="19"/>
                <w:szCs w:val="19"/>
              </w:rPr>
              <w:t xml:space="preserve">4</w:t>
            </w:r>
          </w:p>
        </w:tc>
        <w:tc>
          <w:tcPr>
            <w:tcW w:type="dxa" w:w="80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Serial founder with a meaningful exit or clear trajectory, deep domain authority, track record recruiting top talent, credible operators on the board or cap table.</w:t>
            </w:r>
          </w:p>
        </w:tc>
      </w:tr>
      <w:tr>
        <w:tc>
          <w:tcPr>
            <w:tcW w:type="dxa" w:w="900"/>
            <w:tcMar>
              <w:top w:type="dxa" w:w="60"/>
              <w:left w:type="dxa" w:w="100"/>
              <w:bottom w:type="dxa" w:w="60"/>
              <w:right w:type="dxa" w:w="100"/>
            </w:tcMar>
            <w:vAlign w:val="center"/>
          </w:tcPr>
          <w:p>
            <w:pPr>
              <w:jc w:val="left"/>
            </w:pPr>
            <w:r>
              <w:rPr>
                <w:rFonts w:ascii="Calibri" w:cs="Calibri" w:eastAsia="Calibri" w:hAnsi="Calibri"/>
                <w:b/>
                <w:bCs/>
                <w:color w:val="1A1A1A"/>
                <w:sz w:val="19"/>
                <w:szCs w:val="19"/>
              </w:rPr>
              <w:t xml:space="preserve">3</w:t>
            </w:r>
          </w:p>
        </w:tc>
        <w:tc>
          <w:tcPr>
            <w:tcW w:type="dxa" w:w="80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First-time founder with elite pedigree (FAANG, top-tier academic, relevant domain), strong co-founder complement, recruiting credibly.</w:t>
            </w:r>
          </w:p>
        </w:tc>
      </w:tr>
      <w:tr>
        <w:tc>
          <w:tcPr>
            <w:tcW w:type="dxa" w:w="900"/>
            <w:tcMar>
              <w:top w:type="dxa" w:w="60"/>
              <w:left w:type="dxa" w:w="100"/>
              <w:bottom w:type="dxa" w:w="60"/>
              <w:right w:type="dxa" w:w="100"/>
            </w:tcMar>
            <w:vAlign w:val="center"/>
          </w:tcPr>
          <w:p>
            <w:pPr>
              <w:jc w:val="left"/>
            </w:pPr>
            <w:r>
              <w:rPr>
                <w:rFonts w:ascii="Calibri" w:cs="Calibri" w:eastAsia="Calibri" w:hAnsi="Calibri"/>
                <w:b/>
                <w:bCs/>
                <w:color w:val="1A1A1A"/>
                <w:sz w:val="19"/>
                <w:szCs w:val="19"/>
              </w:rPr>
              <w:t xml:space="preserve">2</w:t>
            </w:r>
          </w:p>
        </w:tc>
        <w:tc>
          <w:tcPr>
            <w:tcW w:type="dxa" w:w="80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Capable but unproven in this specific domain; execution risk real; visible team gaps that may be addressable. Also the landing spot when background is genuinely unverifiable.</w:t>
            </w:r>
          </w:p>
        </w:tc>
      </w:tr>
      <w:tr>
        <w:tc>
          <w:tcPr>
            <w:tcW w:type="dxa" w:w="900"/>
            <w:tcMar>
              <w:top w:type="dxa" w:w="60"/>
              <w:left w:type="dxa" w:w="100"/>
              <w:bottom w:type="dxa" w:w="60"/>
              <w:right w:type="dxa" w:w="100"/>
            </w:tcMar>
            <w:vAlign w:val="center"/>
          </w:tcPr>
          <w:p>
            <w:pPr>
              <w:jc w:val="left"/>
            </w:pPr>
            <w:r>
              <w:rPr>
                <w:rFonts w:ascii="Calibri" w:cs="Calibri" w:eastAsia="Calibri" w:hAnsi="Calibri"/>
                <w:b/>
                <w:bCs/>
                <w:color w:val="B00020"/>
                <w:sz w:val="19"/>
                <w:szCs w:val="19"/>
              </w:rPr>
              <w:t xml:space="preserve">1</w:t>
            </w:r>
          </w:p>
        </w:tc>
        <w:tc>
          <w:tcPr>
            <w:tcMar>
              <w:top w:type="dxa" w:w="60"/>
              <w:left w:type="dxa" w:w="100"/>
              <w:bottom w:type="dxa" w:w="60"/>
              <w:right w:type="dxa" w:w="100"/>
            </w:tcMar>
            <w:vAlign w:val="center"/>
          </w:tcPr>
          <w:p>
            <w:pPr>
              <w:jc w:val="left"/>
            </w:pPr>
            <w:r>
              <w:rPr>
                <w:rFonts w:ascii="Calibri" w:cs="Calibri" w:eastAsia="Calibri" w:hAnsi="Calibri"/>
                <w:b/>
                <w:bCs/>
                <w:color w:val="B00020"/>
                <w:sz w:val="19"/>
                <w:szCs w:val="19"/>
              </w:rPr>
              <w:t xml:space="preserve">First-time founders with no domain expertise, no credible signal, key roles unfilled, or verified negative history in the cap table or founder background.</w:t>
            </w:r>
          </w:p>
        </w:tc>
      </w:tr>
    </w:tbl>
    <w:p>
      <w:pPr>
        <w:spacing w:after="140" w:line="276"/>
      </w:pPr>
      <w:r>
        <w:rPr>
          <w:rFonts w:ascii="Calibri" w:cs="Calibri" w:eastAsia="Calibri" w:hAnsi="Calibri"/>
          <w:sz w:val="21"/>
          <w:szCs w:val="21"/>
        </w:rPr>
        <w:t xml:space="preserve">Signals looked for: prior exits or companies scaled to $100M+ ARR, LinkedIn headcount growth as a recruiting proxy, quality of existing investors and advisors, founder presence in press, conferences, and technical writing, and co-founder dynamics.</w:t>
      </w:r>
    </w:p>
    <w:p>
      <w:pPr>
        <w:spacing w:after="80" w:before="200"/>
      </w:pPr>
      <w:r>
        <w:rPr>
          <w:rFonts w:ascii="Calibri" w:cs="Calibri" w:eastAsia="Calibri" w:hAnsi="Calibri"/>
          <w:b/>
          <w:bCs/>
          <w:color w:val="1A1A1A"/>
          <w:sz w:val="21"/>
          <w:szCs w:val="21"/>
        </w:rPr>
        <w:t xml:space="preserve">8.2.1 Subcategory checklist</w:t>
      </w:r>
    </w:p>
    <w:p>
      <w:pPr>
        <w:pStyle w:val="ListParagraph"/>
        <w:numPr>
          <w:ilvl w:val="0"/>
          <w:numId w:val="6"/>
        </w:numPr>
        <w:spacing w:after="80" w:line="260"/>
      </w:pPr>
      <w:r>
        <w:rPr>
          <w:rFonts w:ascii="Calibri" w:cs="Calibri" w:eastAsia="Calibri" w:hAnsi="Calibri"/>
          <w:sz w:val="21"/>
          <w:szCs w:val="21"/>
        </w:rPr>
        <w:t xml:space="preserve">Prior exit / scaling track record: scaled to $100M+ ARR or a credible exit, with lessons visible in how this company is run.</w:t>
      </w:r>
    </w:p>
    <w:p>
      <w:pPr>
        <w:pStyle w:val="ListParagraph"/>
        <w:numPr>
          <w:ilvl w:val="0"/>
          <w:numId w:val="6"/>
        </w:numPr>
        <w:spacing w:after="80" w:line="260"/>
      </w:pPr>
      <w:r>
        <w:rPr>
          <w:rFonts w:ascii="Calibri" w:cs="Calibri" w:eastAsia="Calibri" w:hAnsi="Calibri"/>
          <w:sz w:val="21"/>
          <w:szCs w:val="21"/>
        </w:rPr>
        <w:t xml:space="preserve">Domain authority: years operating inside this exact market before founding, as practitioner, executive, or technical lead.</w:t>
      </w:r>
    </w:p>
    <w:p>
      <w:pPr>
        <w:pStyle w:val="ListParagraph"/>
        <w:numPr>
          <w:ilvl w:val="0"/>
          <w:numId w:val="6"/>
        </w:numPr>
        <w:spacing w:after="80" w:line="260"/>
      </w:pPr>
      <w:r>
        <w:rPr>
          <w:rFonts w:ascii="Calibri" w:cs="Calibri" w:eastAsia="Calibri" w:hAnsi="Calibri"/>
          <w:sz w:val="21"/>
          <w:szCs w:val="21"/>
        </w:rPr>
        <w:t xml:space="preserve">Founding team complementarity: technical, GTM, and operational coverage across founders; solo-founder or duplicated-skillset gaps.</w:t>
      </w:r>
    </w:p>
    <w:p>
      <w:pPr>
        <w:pStyle w:val="ListParagraph"/>
        <w:numPr>
          <w:ilvl w:val="0"/>
          <w:numId w:val="6"/>
        </w:numPr>
        <w:spacing w:after="80" w:line="260"/>
      </w:pPr>
      <w:r>
        <w:rPr>
          <w:rFonts w:ascii="Calibri" w:cs="Calibri" w:eastAsia="Calibri" w:hAnsi="Calibri"/>
          <w:sz w:val="21"/>
          <w:szCs w:val="21"/>
        </w:rPr>
        <w:t xml:space="preserve">Recruiting power / talent magnetism: LinkedIn headcount growth trend, quality of recent senior hires, retention of early employees.</w:t>
      </w:r>
    </w:p>
    <w:p>
      <w:pPr>
        <w:pStyle w:val="ListParagraph"/>
        <w:numPr>
          <w:ilvl w:val="0"/>
          <w:numId w:val="6"/>
        </w:numPr>
        <w:spacing w:after="80" w:line="260"/>
      </w:pPr>
      <w:r>
        <w:rPr>
          <w:rFonts w:ascii="Calibri" w:cs="Calibri" w:eastAsia="Calibri" w:hAnsi="Calibri"/>
          <w:sz w:val="21"/>
          <w:szCs w:val="21"/>
        </w:rPr>
        <w:t xml:space="preserve">Existing cap table / advisor quality: credibility of prior-round investors and operator-advisors, a proxy layer of diligence ID8 can partially free-ride on.</w:t>
      </w:r>
    </w:p>
    <w:p>
      <w:pPr>
        <w:pStyle w:val="ListParagraph"/>
        <w:numPr>
          <w:ilvl w:val="0"/>
          <w:numId w:val="6"/>
        </w:numPr>
        <w:spacing w:after="80" w:line="260"/>
      </w:pPr>
      <w:r>
        <w:rPr>
          <w:rFonts w:ascii="Calibri" w:cs="Calibri" w:eastAsia="Calibri" w:hAnsi="Calibri"/>
          <w:sz w:val="21"/>
          <w:szCs w:val="21"/>
        </w:rPr>
        <w:t xml:space="preserve">Founder reputation and public presence: press, conference talks, technical writing, open-source contributions, hard to fabricate over time.</w:t>
      </w:r>
    </w:p>
    <w:p>
      <w:pPr>
        <w:pStyle w:val="ListParagraph"/>
        <w:numPr>
          <w:ilvl w:val="0"/>
          <w:numId w:val="6"/>
        </w:numPr>
        <w:spacing w:after="80" w:line="260"/>
      </w:pPr>
      <w:r>
        <w:rPr>
          <w:rFonts w:ascii="Calibri" w:cs="Calibri" w:eastAsia="Calibri" w:hAnsi="Calibri"/>
          <w:sz w:val="21"/>
          <w:szCs w:val="21"/>
        </w:rPr>
        <w:t xml:space="preserve">Execution cadence / velocity: track record of hitting or missing previously stated milestones and timelines.</w:t>
      </w:r>
    </w:p>
    <w:p>
      <w:pPr>
        <w:pStyle w:val="ListParagraph"/>
        <w:numPr>
          <w:ilvl w:val="0"/>
          <w:numId w:val="6"/>
        </w:numPr>
        <w:spacing w:after="80" w:line="260"/>
      </w:pPr>
      <w:r>
        <w:rPr>
          <w:rFonts w:ascii="Calibri" w:cs="Calibri" w:eastAsia="Calibri" w:hAnsi="Calibri"/>
          <w:sz w:val="21"/>
          <w:szCs w:val="21"/>
        </w:rPr>
        <w:t xml:space="preserve">Coachability / founder-market adaptability: evidence of real pivots or GTM changes in response to market feedback vs. defensive attachment to the original plan.</w:t>
      </w:r>
    </w:p>
    <w:p>
      <w:pPr>
        <w:pStyle w:val="ListParagraph"/>
        <w:numPr>
          <w:ilvl w:val="0"/>
          <w:numId w:val="6"/>
        </w:numPr>
        <w:spacing w:after="80" w:line="260"/>
      </w:pPr>
      <w:r>
        <w:rPr>
          <w:rFonts w:ascii="Calibri" w:cs="Calibri" w:eastAsia="Calibri" w:hAnsi="Calibri"/>
          <w:sz w:val="21"/>
          <w:szCs w:val="21"/>
        </w:rPr>
        <w:t xml:space="preserve">Founder financial alignment: ownership retained, personal capital at risk, compensation discipline relative to company stage.</w:t>
      </w:r>
    </w:p>
    <w:p>
      <w:pPr>
        <w:pStyle w:val="ListParagraph"/>
        <w:numPr>
          <w:ilvl w:val="0"/>
          <w:numId w:val="6"/>
        </w:numPr>
        <w:spacing w:after="80" w:line="260"/>
      </w:pPr>
      <w:r>
        <w:rPr>
          <w:rFonts w:ascii="Calibri" w:cs="Calibri" w:eastAsia="Calibri" w:hAnsi="Calibri"/>
          <w:sz w:val="21"/>
          <w:szCs w:val="21"/>
        </w:rPr>
        <w:t xml:space="preserve">Red flag / integrity history, which can override everything else: litigation, fraud allegations, regulatory action, verified toxic-culture signals. A confirmed hit here is the Founder / Team Quality hard auto-pass regardless of every other subcategory.</w:t>
      </w:r>
    </w:p>
    <w:p>
      <w:pPr>
        <w:pStyle w:val="Heading2"/>
        <w:spacing w:after="120" w:before="300"/>
      </w:pPr>
      <w:r>
        <w:rPr>
          <w:rFonts w:ascii="Calibri" w:cs="Calibri" w:eastAsia="Calibri" w:hAnsi="Calibri"/>
          <w:b/>
          <w:bCs/>
          <w:color w:val="1A1A1A"/>
          <w:sz w:val="24"/>
          <w:szCs w:val="24"/>
        </w:rPr>
        <w:t xml:space="preserve">8.3 Fundamentals (20%)</w:t>
      </w:r>
    </w:p>
    <w:p>
      <w:pPr>
        <w:spacing w:after="140" w:line="276"/>
      </w:pPr>
      <w:r>
        <w:rPr>
          <w:rFonts w:ascii="Calibri" w:cs="Calibri" w:eastAsia="Calibri" w:hAnsi="Calibri"/>
          <w:sz w:val="21"/>
          <w:szCs w:val="21"/>
        </w:rPr>
        <w:t xml:space="preserve">Moat strength and competitive positioning, valuation vs. revenue and margins, capital efficiency, sector disruption risk. A revenue multiple vs. comp set is mandatory in every screen: search hard for a real disclosed number first; if none exists, triangulate an ESTIMATED range per Section 7.1.</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900"/>
        <w:gridCol w:w="8000"/>
      </w:tblGrid>
      <w:tr>
        <w:trPr>
          <w:tblHeader/>
        </w:trPr>
        <w:tc>
          <w:tcPr>
            <w:tcW w:type="dxa" w:w="900"/>
            <w:shd w:fill="E8E8E8" w:val="clear"/>
            <w:tcMar>
              <w:top w:type="dxa" w:w="60"/>
              <w:left w:type="dxa" w:w="100"/>
              <w:bottom w:type="dxa" w:w="60"/>
              <w:right w:type="dxa" w:w="100"/>
            </w:tcMar>
            <w:vAlign w:val="center"/>
          </w:tcPr>
          <w:p>
            <w:pPr>
              <w:jc w:val="left"/>
            </w:pPr>
            <w:r>
              <w:rPr>
                <w:rFonts w:ascii="Calibri" w:cs="Calibri" w:eastAsia="Calibri" w:hAnsi="Calibri"/>
                <w:b/>
                <w:bCs/>
                <w:color w:val="1A1A1A"/>
                <w:sz w:val="19"/>
                <w:szCs w:val="19"/>
              </w:rPr>
              <w:t xml:space="preserve">Score</w:t>
            </w:r>
          </w:p>
        </w:tc>
        <w:tc>
          <w:tcPr>
            <w:tcW w:type="dxa" w:w="8000"/>
            <w:shd w:fill="E8E8E8" w:val="clear"/>
            <w:tcMar>
              <w:top w:type="dxa" w:w="60"/>
              <w:left w:type="dxa" w:w="100"/>
              <w:bottom w:type="dxa" w:w="60"/>
              <w:right w:type="dxa" w:w="100"/>
            </w:tcMar>
            <w:vAlign w:val="center"/>
          </w:tcPr>
          <w:p>
            <w:pPr>
              <w:jc w:val="left"/>
            </w:pPr>
            <w:r>
              <w:rPr>
                <w:rFonts w:ascii="Calibri" w:cs="Calibri" w:eastAsia="Calibri" w:hAnsi="Calibri"/>
                <w:b/>
                <w:bCs/>
                <w:color w:val="1A1A1A"/>
                <w:sz w:val="19"/>
                <w:szCs w:val="19"/>
              </w:rPr>
              <w:t xml:space="preserve">Anchor</w:t>
            </w:r>
          </w:p>
        </w:tc>
      </w:tr>
      <w:tr>
        <w:tc>
          <w:tcPr>
            <w:tcW w:type="dxa" w:w="900"/>
            <w:tcMar>
              <w:top w:type="dxa" w:w="60"/>
              <w:left w:type="dxa" w:w="100"/>
              <w:bottom w:type="dxa" w:w="60"/>
              <w:right w:type="dxa" w:w="100"/>
            </w:tcMar>
            <w:vAlign w:val="center"/>
          </w:tcPr>
          <w:p>
            <w:pPr>
              <w:jc w:val="left"/>
            </w:pPr>
            <w:r>
              <w:rPr>
                <w:rFonts w:ascii="Calibri" w:cs="Calibri" w:eastAsia="Calibri" w:hAnsi="Calibri"/>
                <w:b/>
                <w:bCs/>
                <w:color w:val="1A1A1A"/>
                <w:sz w:val="19"/>
                <w:szCs w:val="19"/>
              </w:rPr>
              <w:t xml:space="preserve">4</w:t>
            </w:r>
          </w:p>
        </w:tc>
        <w:tc>
          <w:tcPr>
            <w:tcW w:type="dxa" w:w="80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$50M+ ARR, 100%+ YoY growth, NDR above 130%, LTV/CAC above 5x, burn under 20% of revenue. Strong defensible moat, sector not at acute disruption risk.</w:t>
            </w:r>
          </w:p>
        </w:tc>
      </w:tr>
      <w:tr>
        <w:tc>
          <w:tcPr>
            <w:tcW w:type="dxa" w:w="900"/>
            <w:tcMar>
              <w:top w:type="dxa" w:w="60"/>
              <w:left w:type="dxa" w:w="100"/>
              <w:bottom w:type="dxa" w:w="60"/>
              <w:right w:type="dxa" w:w="100"/>
            </w:tcMar>
            <w:vAlign w:val="center"/>
          </w:tcPr>
          <w:p>
            <w:pPr>
              <w:jc w:val="left"/>
            </w:pPr>
            <w:r>
              <w:rPr>
                <w:rFonts w:ascii="Calibri" w:cs="Calibri" w:eastAsia="Calibri" w:hAnsi="Calibri"/>
                <w:b/>
                <w:bCs/>
                <w:color w:val="1A1A1A"/>
                <w:sz w:val="19"/>
                <w:szCs w:val="19"/>
              </w:rPr>
              <w:t xml:space="preserve">3</w:t>
            </w:r>
          </w:p>
        </w:tc>
        <w:tc>
          <w:tcPr>
            <w:tcW w:type="dxa" w:w="80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$25M+ ARR, above 70% growth, NDR above 110%, LTV/CAC above 3x, burn under 50% of revenue. Moat real but moderate. Valuation defensible vs. public comps.</w:t>
            </w:r>
          </w:p>
        </w:tc>
      </w:tr>
      <w:tr>
        <w:tc>
          <w:tcPr>
            <w:tcW w:type="dxa" w:w="900"/>
            <w:tcMar>
              <w:top w:type="dxa" w:w="60"/>
              <w:left w:type="dxa" w:w="100"/>
              <w:bottom w:type="dxa" w:w="60"/>
              <w:right w:type="dxa" w:w="100"/>
            </w:tcMar>
            <w:vAlign w:val="center"/>
          </w:tcPr>
          <w:p>
            <w:pPr>
              <w:jc w:val="left"/>
            </w:pPr>
            <w:r>
              <w:rPr>
                <w:rFonts w:ascii="Calibri" w:cs="Calibri" w:eastAsia="Calibri" w:hAnsi="Calibri"/>
                <w:b/>
                <w:bCs/>
                <w:color w:val="1A1A1A"/>
                <w:sz w:val="19"/>
                <w:szCs w:val="19"/>
              </w:rPr>
              <w:t xml:space="preserve">2</w:t>
            </w:r>
          </w:p>
        </w:tc>
        <w:tc>
          <w:tcPr>
            <w:tcW w:type="dxa" w:w="80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Early traction, some positive signals, most metrics below threshold; or an ESTIMATED range lands below the $25M / 70%-growth bar; or no real number or usable estimate exists at all (NOT PUBLIC, last resort). Diligence Confidence is flagged LOW when this 2 reflects a data gap with no usable estimate, MEDIUM when it reflects a genuine ESTIMATED figure.</w:t>
            </w:r>
          </w:p>
        </w:tc>
      </w:tr>
      <w:tr>
        <w:tc>
          <w:tcPr>
            <w:tcW w:type="dxa" w:w="900"/>
            <w:tcMar>
              <w:top w:type="dxa" w:w="60"/>
              <w:left w:type="dxa" w:w="100"/>
              <w:bottom w:type="dxa" w:w="60"/>
              <w:right w:type="dxa" w:w="100"/>
            </w:tcMar>
            <w:vAlign w:val="center"/>
          </w:tcPr>
          <w:p>
            <w:pPr>
              <w:jc w:val="left"/>
            </w:pPr>
            <w:r>
              <w:rPr>
                <w:rFonts w:ascii="Calibri" w:cs="Calibri" w:eastAsia="Calibri" w:hAnsi="Calibri"/>
                <w:b/>
                <w:bCs/>
                <w:color w:val="B00020"/>
                <w:sz w:val="19"/>
                <w:szCs w:val="19"/>
              </w:rPr>
              <w:t xml:space="preserve">1</w:t>
            </w:r>
          </w:p>
        </w:tc>
        <w:tc>
          <w:tcPr>
            <w:tcMar>
              <w:top w:type="dxa" w:w="60"/>
              <w:left w:type="dxa" w:w="100"/>
              <w:bottom w:type="dxa" w:w="60"/>
              <w:right w:type="dxa" w:w="100"/>
            </w:tcMar>
            <w:vAlign w:val="center"/>
          </w:tcPr>
          <w:p>
            <w:pPr>
              <w:jc w:val="left"/>
            </w:pPr>
            <w:r>
              <w:rPr>
                <w:rFonts w:ascii="Calibri" w:cs="Calibri" w:eastAsia="Calibri" w:hAnsi="Calibri"/>
                <w:b/>
                <w:bCs/>
                <w:color w:val="B00020"/>
                <w:sz w:val="19"/>
                <w:szCs w:val="19"/>
              </w:rPr>
              <w:t xml:space="preserve">Confirmed sub-$5M ARR, sub-40% growth, NDR under 100%, LTV/CAC under 2x, burn above 100% of revenue, not merely undisclosed, and never reached via an ESTIMATED figure alone. Pre-revenue or pre-commercial companies with nothing to disclose also land here; that is a real gap, not a data-availability one.</w:t>
            </w:r>
          </w:p>
        </w:tc>
      </w:tr>
    </w:tbl>
    <w:p>
      <w:pPr>
        <w:spacing w:after="80" w:before="200"/>
      </w:pPr>
      <w:r>
        <w:rPr>
          <w:rFonts w:ascii="Calibri" w:cs="Calibri" w:eastAsia="Calibri" w:hAnsi="Calibri"/>
          <w:b/>
          <w:bCs/>
          <w:color w:val="1A1A1A"/>
          <w:sz w:val="21"/>
          <w:szCs w:val="21"/>
        </w:rPr>
        <w:t xml:space="preserve">8.3.1 Subcategory checklist</w:t>
      </w:r>
    </w:p>
    <w:p>
      <w:pPr>
        <w:pStyle w:val="ListParagraph"/>
        <w:numPr>
          <w:ilvl w:val="0"/>
          <w:numId w:val="7"/>
        </w:numPr>
        <w:spacing w:after="80" w:line="260"/>
      </w:pPr>
      <w:r>
        <w:rPr>
          <w:rFonts w:ascii="Calibri" w:cs="Calibri" w:eastAsia="Calibri" w:hAnsi="Calibri"/>
          <w:sz w:val="21"/>
          <w:szCs w:val="21"/>
        </w:rPr>
        <w:t xml:space="preserve">Revenue scale and growth rate: absolute ARR and YoY growth, assessed together, not independently.</w:t>
      </w:r>
    </w:p>
    <w:p>
      <w:pPr>
        <w:pStyle w:val="ListParagraph"/>
        <w:numPr>
          <w:ilvl w:val="0"/>
          <w:numId w:val="7"/>
        </w:numPr>
        <w:spacing w:after="80" w:line="260"/>
      </w:pPr>
      <w:r>
        <w:rPr>
          <w:rFonts w:ascii="Calibri" w:cs="Calibri" w:eastAsia="Calibri" w:hAnsi="Calibri"/>
          <w:sz w:val="21"/>
          <w:szCs w:val="21"/>
        </w:rPr>
        <w:t xml:space="preserve">Net Dollar Retention (NDR): expansion vs. flat vs. shrinking, the cleanest proxy for real product value after the initial sale.</w:t>
      </w:r>
    </w:p>
    <w:p>
      <w:pPr>
        <w:pStyle w:val="ListParagraph"/>
        <w:numPr>
          <w:ilvl w:val="0"/>
          <w:numId w:val="7"/>
        </w:numPr>
        <w:spacing w:after="80" w:line="260"/>
      </w:pPr>
      <w:r>
        <w:rPr>
          <w:rFonts w:ascii="Calibri" w:cs="Calibri" w:eastAsia="Calibri" w:hAnsi="Calibri"/>
          <w:sz w:val="21"/>
          <w:szCs w:val="21"/>
        </w:rPr>
        <w:t xml:space="preserve">Gross margin and unit economics: LTV/CAC, gross margin, contribution margin; is growth value-creating or value-destroying.</w:t>
      </w:r>
    </w:p>
    <w:p>
      <w:pPr>
        <w:pStyle w:val="ListParagraph"/>
        <w:numPr>
          <w:ilvl w:val="0"/>
          <w:numId w:val="7"/>
        </w:numPr>
        <w:spacing w:after="80" w:line="260"/>
      </w:pPr>
      <w:r>
        <w:rPr>
          <w:rFonts w:ascii="Calibri" w:cs="Calibri" w:eastAsia="Calibri" w:hAnsi="Calibri"/>
          <w:sz w:val="21"/>
          <w:szCs w:val="21"/>
        </w:rPr>
        <w:t xml:space="preserve">Burn rate and runway discipline: burn as a percent of revenue and months of runway at current spend.</w:t>
      </w:r>
    </w:p>
    <w:p>
      <w:pPr>
        <w:pStyle w:val="ListParagraph"/>
        <w:numPr>
          <w:ilvl w:val="0"/>
          <w:numId w:val="7"/>
        </w:numPr>
        <w:spacing w:after="80" w:line="260"/>
      </w:pPr>
      <w:r>
        <w:rPr>
          <w:rFonts w:ascii="Calibri" w:cs="Calibri" w:eastAsia="Calibri" w:hAnsi="Calibri"/>
          <w:sz w:val="21"/>
          <w:szCs w:val="21"/>
        </w:rPr>
        <w:t xml:space="preserve">Customer concentration risk: share of revenue from the top 1, 5, and 10 customers; whale-contract risk hiding inside a strong ARR number.</w:t>
      </w:r>
    </w:p>
    <w:p>
      <w:pPr>
        <w:pStyle w:val="ListParagraph"/>
        <w:numPr>
          <w:ilvl w:val="0"/>
          <w:numId w:val="7"/>
        </w:numPr>
        <w:spacing w:after="80" w:line="260"/>
      </w:pPr>
      <w:r>
        <w:rPr>
          <w:rFonts w:ascii="Calibri" w:cs="Calibri" w:eastAsia="Calibri" w:hAnsi="Calibri"/>
          <w:sz w:val="21"/>
          <w:szCs w:val="21"/>
        </w:rPr>
        <w:t xml:space="preserve">Capital efficiency / preferred stack structure: how lean the liquidation preference stack is ahead of this round. A lean preferred stack signals capital discipline and protects downside; a stacked, senior-heavy cap table erodes both.</w:t>
      </w:r>
    </w:p>
    <w:p>
      <w:pPr>
        <w:pStyle w:val="ListParagraph"/>
        <w:numPr>
          <w:ilvl w:val="0"/>
          <w:numId w:val="7"/>
        </w:numPr>
        <w:spacing w:after="80" w:line="260"/>
      </w:pPr>
      <w:r>
        <w:rPr>
          <w:rFonts w:ascii="Calibri" w:cs="Calibri" w:eastAsia="Calibri" w:hAnsi="Calibri"/>
          <w:sz w:val="21"/>
          <w:szCs w:val="21"/>
        </w:rPr>
        <w:t xml:space="preserve">Competitive moat durability: structural (network effects, regulatory barrier, switching costs) vs. narrative-heavy ("great team," "we move fast").</w:t>
      </w:r>
    </w:p>
    <w:p>
      <w:pPr>
        <w:pStyle w:val="ListParagraph"/>
        <w:numPr>
          <w:ilvl w:val="0"/>
          <w:numId w:val="7"/>
        </w:numPr>
        <w:spacing w:after="80" w:line="260"/>
      </w:pPr>
      <w:r>
        <w:rPr>
          <w:rFonts w:ascii="Calibri" w:cs="Calibri" w:eastAsia="Calibri" w:hAnsi="Calibri"/>
          <w:sz w:val="21"/>
          <w:szCs w:val="21"/>
        </w:rPr>
        <w:t xml:space="preserve">Market size and TAM expansion path: is the current market alone venture-scale, and is there a credible, already-in-motion adjacent expansion path.</w:t>
      </w:r>
    </w:p>
    <w:p>
      <w:pPr>
        <w:pStyle w:val="ListParagraph"/>
        <w:numPr>
          <w:ilvl w:val="0"/>
          <w:numId w:val="7"/>
        </w:numPr>
        <w:spacing w:after="80" w:line="260"/>
      </w:pPr>
      <w:r>
        <w:rPr>
          <w:rFonts w:ascii="Calibri" w:cs="Calibri" w:eastAsia="Calibri" w:hAnsi="Calibri"/>
          <w:sz w:val="21"/>
          <w:szCs w:val="21"/>
        </w:rPr>
        <w:t xml:space="preserve">Valuation vs. comp set: revenue multiple at entry vs. public and private comps, growth-adjusted (Rule-of-40-style). Mandatory in every screen; write NOT PUBLIC if unavailable, never estimate without triangulation and labeling.</w:t>
      </w:r>
    </w:p>
    <w:p>
      <w:pPr>
        <w:pStyle w:val="ListParagraph"/>
        <w:numPr>
          <w:ilvl w:val="0"/>
          <w:numId w:val="7"/>
        </w:numPr>
        <w:spacing w:after="80" w:line="260"/>
      </w:pPr>
      <w:r>
        <w:rPr>
          <w:rFonts w:ascii="Calibri" w:cs="Calibri" w:eastAsia="Calibri" w:hAnsi="Calibri"/>
          <w:sz w:val="21"/>
          <w:szCs w:val="21"/>
        </w:rPr>
        <w:t xml:space="preserve">Sector disruption risk: exposure to foundational-model capability creep, regulatory shifts, or macro cyclicality that could impair the business model within the hold period.</w:t>
      </w:r>
    </w:p>
    <w:p>
      <w:pPr>
        <w:pStyle w:val="Heading2"/>
        <w:spacing w:after="120" w:before="300"/>
      </w:pPr>
      <w:r>
        <w:rPr>
          <w:rFonts w:ascii="Calibri" w:cs="Calibri" w:eastAsia="Calibri" w:hAnsi="Calibri"/>
          <w:b/>
          <w:bCs/>
          <w:color w:val="1A1A1A"/>
          <w:sz w:val="24"/>
          <w:szCs w:val="24"/>
        </w:rPr>
        <w:t xml:space="preserve">8.4 Return Potential (20%)</w:t>
      </w:r>
    </w:p>
    <w:p>
      <w:pPr>
        <w:spacing w:after="140" w:line="276"/>
      </w:pPr>
      <w:r>
        <w:rPr>
          <w:rFonts w:ascii="Calibri" w:cs="Calibri" w:eastAsia="Calibri" w:hAnsi="Calibri"/>
          <w:sz w:val="21"/>
          <w:szCs w:val="21"/>
        </w:rPr>
        <w:t xml:space="preserve">No valuation caps. Scored on realistic MOIC and IRR given entry price, growth rate, dilution, and exit path. The model is instructed to ask what the company must achieve at this entry price for ID8 to return 6x, and whether that is the base case or the bull case. It must model at least two future rounds of dilution (roughly 20-25% each) before exit, and for secondaries, calculate net IRR inclusive of any upfront access fee.</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900"/>
        <w:gridCol w:w="8000"/>
      </w:tblGrid>
      <w:tr>
        <w:trPr>
          <w:tblHeader/>
        </w:trPr>
        <w:tc>
          <w:tcPr>
            <w:tcW w:type="dxa" w:w="900"/>
            <w:shd w:fill="E8E8E8" w:val="clear"/>
            <w:tcMar>
              <w:top w:type="dxa" w:w="60"/>
              <w:left w:type="dxa" w:w="100"/>
              <w:bottom w:type="dxa" w:w="60"/>
              <w:right w:type="dxa" w:w="100"/>
            </w:tcMar>
            <w:vAlign w:val="center"/>
          </w:tcPr>
          <w:p>
            <w:pPr>
              <w:jc w:val="left"/>
            </w:pPr>
            <w:r>
              <w:rPr>
                <w:rFonts w:ascii="Calibri" w:cs="Calibri" w:eastAsia="Calibri" w:hAnsi="Calibri"/>
                <w:b/>
                <w:bCs/>
                <w:color w:val="1A1A1A"/>
                <w:sz w:val="19"/>
                <w:szCs w:val="19"/>
              </w:rPr>
              <w:t xml:space="preserve">Score</w:t>
            </w:r>
          </w:p>
        </w:tc>
        <w:tc>
          <w:tcPr>
            <w:tcW w:type="dxa" w:w="8000"/>
            <w:shd w:fill="E8E8E8" w:val="clear"/>
            <w:tcMar>
              <w:top w:type="dxa" w:w="60"/>
              <w:left w:type="dxa" w:w="100"/>
              <w:bottom w:type="dxa" w:w="60"/>
              <w:right w:type="dxa" w:w="100"/>
            </w:tcMar>
            <w:vAlign w:val="center"/>
          </w:tcPr>
          <w:p>
            <w:pPr>
              <w:jc w:val="left"/>
            </w:pPr>
            <w:r>
              <w:rPr>
                <w:rFonts w:ascii="Calibri" w:cs="Calibri" w:eastAsia="Calibri" w:hAnsi="Calibri"/>
                <w:b/>
                <w:bCs/>
                <w:color w:val="1A1A1A"/>
                <w:sz w:val="19"/>
                <w:szCs w:val="19"/>
              </w:rPr>
              <w:t xml:space="preserve">Anchor</w:t>
            </w:r>
          </w:p>
        </w:tc>
      </w:tr>
      <w:tr>
        <w:tc>
          <w:tcPr>
            <w:tcW w:type="dxa" w:w="900"/>
            <w:tcMar>
              <w:top w:type="dxa" w:w="60"/>
              <w:left w:type="dxa" w:w="100"/>
              <w:bottom w:type="dxa" w:w="60"/>
              <w:right w:type="dxa" w:w="100"/>
            </w:tcMar>
            <w:vAlign w:val="center"/>
          </w:tcPr>
          <w:p>
            <w:pPr>
              <w:jc w:val="left"/>
            </w:pPr>
            <w:r>
              <w:rPr>
                <w:rFonts w:ascii="Calibri" w:cs="Calibri" w:eastAsia="Calibri" w:hAnsi="Calibri"/>
                <w:b/>
                <w:bCs/>
                <w:color w:val="1A1A1A"/>
                <w:sz w:val="19"/>
                <w:szCs w:val="19"/>
              </w:rPr>
              <w:t xml:space="preserve">4</w:t>
            </w:r>
          </w:p>
        </w:tc>
        <w:tc>
          <w:tcPr>
            <w:tcW w:type="dxa" w:w="80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6x+ MOIC / 30%+ IRR as the base case, not the bull case. Exit path visible, meaningful downside protection.</w:t>
            </w:r>
          </w:p>
        </w:tc>
      </w:tr>
      <w:tr>
        <w:tc>
          <w:tcPr>
            <w:tcW w:type="dxa" w:w="900"/>
            <w:tcMar>
              <w:top w:type="dxa" w:w="60"/>
              <w:left w:type="dxa" w:w="100"/>
              <w:bottom w:type="dxa" w:w="60"/>
              <w:right w:type="dxa" w:w="100"/>
            </w:tcMar>
            <w:vAlign w:val="center"/>
          </w:tcPr>
          <w:p>
            <w:pPr>
              <w:jc w:val="left"/>
            </w:pPr>
            <w:r>
              <w:rPr>
                <w:rFonts w:ascii="Calibri" w:cs="Calibri" w:eastAsia="Calibri" w:hAnsi="Calibri"/>
                <w:b/>
                <w:bCs/>
                <w:color w:val="1A1A1A"/>
                <w:sz w:val="19"/>
                <w:szCs w:val="19"/>
              </w:rPr>
              <w:t xml:space="preserve">3</w:t>
            </w:r>
          </w:p>
        </w:tc>
        <w:tc>
          <w:tcPr>
            <w:tcW w:type="dxa" w:w="80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3-6x MOIC / 20-30% IRR. Reasonable base case, some execution risk, entry justified but projections require discipline.</w:t>
            </w:r>
          </w:p>
        </w:tc>
      </w:tr>
      <w:tr>
        <w:tc>
          <w:tcPr>
            <w:tcW w:type="dxa" w:w="900"/>
            <w:tcMar>
              <w:top w:type="dxa" w:w="60"/>
              <w:left w:type="dxa" w:w="100"/>
              <w:bottom w:type="dxa" w:w="60"/>
              <w:right w:type="dxa" w:w="100"/>
            </w:tcMar>
            <w:vAlign w:val="center"/>
          </w:tcPr>
          <w:p>
            <w:pPr>
              <w:jc w:val="left"/>
            </w:pPr>
            <w:r>
              <w:rPr>
                <w:rFonts w:ascii="Calibri" w:cs="Calibri" w:eastAsia="Calibri" w:hAnsi="Calibri"/>
                <w:b/>
                <w:bCs/>
                <w:color w:val="1A1A1A"/>
                <w:sz w:val="19"/>
                <w:szCs w:val="19"/>
              </w:rPr>
              <w:t xml:space="preserve">2</w:t>
            </w:r>
          </w:p>
        </w:tc>
        <w:tc>
          <w:tcPr>
            <w:tcW w:type="dxa" w:w="80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2-3x MOIC / 10-20% IRR. Below venture scale: competition too intense, entry too high, or TAM too narrow to reach 6x in the base case.</w:t>
            </w:r>
          </w:p>
        </w:tc>
      </w:tr>
      <w:tr>
        <w:tc>
          <w:tcPr>
            <w:tcW w:type="dxa" w:w="900"/>
            <w:tcMar>
              <w:top w:type="dxa" w:w="60"/>
              <w:left w:type="dxa" w:w="100"/>
              <w:bottom w:type="dxa" w:w="60"/>
              <w:right w:type="dxa" w:w="100"/>
            </w:tcMar>
            <w:vAlign w:val="center"/>
          </w:tcPr>
          <w:p>
            <w:pPr>
              <w:jc w:val="left"/>
            </w:pPr>
            <w:r>
              <w:rPr>
                <w:rFonts w:ascii="Calibri" w:cs="Calibri" w:eastAsia="Calibri" w:hAnsi="Calibri"/>
                <w:b/>
                <w:bCs/>
                <w:color w:val="B00020"/>
                <w:sz w:val="19"/>
                <w:szCs w:val="19"/>
              </w:rPr>
              <w:t xml:space="preserve">1</w:t>
            </w:r>
          </w:p>
        </w:tc>
        <w:tc>
          <w:tcPr>
            <w:tcMar>
              <w:top w:type="dxa" w:w="60"/>
              <w:left w:type="dxa" w:w="100"/>
              <w:bottom w:type="dxa" w:w="60"/>
              <w:right w:type="dxa" w:w="100"/>
            </w:tcMar>
            <w:vAlign w:val="center"/>
          </w:tcPr>
          <w:p>
            <w:pPr>
              <w:jc w:val="left"/>
            </w:pPr>
            <w:r>
              <w:rPr>
                <w:rFonts w:ascii="Calibri" w:cs="Calibri" w:eastAsia="Calibri" w:hAnsi="Calibri"/>
                <w:b/>
                <w:bCs/>
                <w:color w:val="B00020"/>
                <w:sz w:val="19"/>
                <w:szCs w:val="19"/>
              </w:rPr>
              <w:t xml:space="preserve">Below 2x MOIC / below 10% IRR. Meaningful capital-loss risk; does not meet ID8's minimum return threshold.</w:t>
            </w:r>
          </w:p>
        </w:tc>
      </w:tr>
    </w:tbl>
    <w:p>
      <w:pPr>
        <w:spacing w:after="140" w:line="276"/>
      </w:pPr>
      <w:r>
        <w:rPr>
          <w:rFonts w:ascii="Calibri" w:cs="Calibri" w:eastAsia="Calibri" w:hAnsi="Calibri"/>
          <w:sz w:val="21"/>
          <w:szCs w:val="21"/>
        </w:rPr>
        <w:t xml:space="preserve">Position-level calibration (deck p.21, as of 2026-05-29): live anchor points for reasoning about realistic MOIC/IRR, not just the abstract 6x/base-case framework.</w:t>
      </w:r>
    </w:p>
    <w:tbl>
      <w:tblPr>
        <w:tblW w:type="dxa" w:w="770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300"/>
        <w:gridCol w:w="2100"/>
        <w:gridCol w:w="1000"/>
      </w:tblGrid>
      <w:tr>
        <w:trPr>
          <w:tblHeader/>
        </w:trPr>
        <w:tc>
          <w:tcPr>
            <w:tcW w:type="dxa" w:w="2200"/>
            <w:shd w:fill="E8E8E8" w:val="clear"/>
            <w:tcMar>
              <w:top w:type="dxa" w:w="60"/>
              <w:left w:type="dxa" w:w="100"/>
              <w:bottom w:type="dxa" w:w="60"/>
              <w:right w:type="dxa" w:w="100"/>
            </w:tcMar>
            <w:vAlign w:val="center"/>
          </w:tcPr>
          <w:p>
            <w:pPr>
              <w:jc w:val="left"/>
            </w:pPr>
            <w:r>
              <w:rPr>
                <w:rFonts w:ascii="Calibri" w:cs="Calibri" w:eastAsia="Calibri" w:hAnsi="Calibri"/>
                <w:b/>
                <w:bCs/>
                <w:color w:val="1A1A1A"/>
                <w:sz w:val="19"/>
                <w:szCs w:val="19"/>
              </w:rPr>
              <w:t xml:space="preserve">Company</w:t>
            </w:r>
          </w:p>
        </w:tc>
        <w:tc>
          <w:tcPr>
            <w:tcW w:type="dxa" w:w="1100"/>
            <w:shd w:fill="E8E8E8" w:val="clear"/>
            <w:tcMar>
              <w:top w:type="dxa" w:w="60"/>
              <w:left w:type="dxa" w:w="100"/>
              <w:bottom w:type="dxa" w:w="60"/>
              <w:right w:type="dxa" w:w="100"/>
            </w:tcMar>
            <w:vAlign w:val="center"/>
          </w:tcPr>
          <w:p>
            <w:pPr>
              <w:jc w:val="left"/>
            </w:pPr>
            <w:r>
              <w:rPr>
                <w:rFonts w:ascii="Calibri" w:cs="Calibri" w:eastAsia="Calibri" w:hAnsi="Calibri"/>
                <w:b/>
                <w:bCs/>
                <w:color w:val="1A1A1A"/>
                <w:sz w:val="19"/>
                <w:szCs w:val="19"/>
              </w:rPr>
              <w:t xml:space="preserve">MOIC</w:t>
            </w:r>
          </w:p>
        </w:tc>
        <w:tc>
          <w:tcPr>
            <w:tcW w:type="dxa" w:w="1300"/>
            <w:shd w:fill="E8E8E8" w:val="clear"/>
            <w:tcMar>
              <w:top w:type="dxa" w:w="60"/>
              <w:left w:type="dxa" w:w="100"/>
              <w:bottom w:type="dxa" w:w="60"/>
              <w:right w:type="dxa" w:w="100"/>
            </w:tcMar>
            <w:vAlign w:val="center"/>
          </w:tcPr>
          <w:p>
            <w:pPr>
              <w:jc w:val="left"/>
            </w:pPr>
            <w:r>
              <w:rPr>
                <w:rFonts w:ascii="Calibri" w:cs="Calibri" w:eastAsia="Calibri" w:hAnsi="Calibri"/>
                <w:b/>
                <w:bCs/>
                <w:color w:val="1A1A1A"/>
                <w:sz w:val="19"/>
                <w:szCs w:val="19"/>
              </w:rPr>
              <w:t xml:space="preserve">IRR</w:t>
            </w:r>
          </w:p>
        </w:tc>
        <w:tc>
          <w:tcPr>
            <w:tcW w:type="dxa" w:w="2100"/>
            <w:shd w:fill="E8E8E8" w:val="clear"/>
            <w:tcMar>
              <w:top w:type="dxa" w:w="60"/>
              <w:left w:type="dxa" w:w="100"/>
              <w:bottom w:type="dxa" w:w="60"/>
              <w:right w:type="dxa" w:w="100"/>
            </w:tcMar>
            <w:vAlign w:val="center"/>
          </w:tcPr>
          <w:p>
            <w:pPr>
              <w:jc w:val="left"/>
            </w:pPr>
            <w:r>
              <w:rPr>
                <w:rFonts w:ascii="Calibri" w:cs="Calibri" w:eastAsia="Calibri" w:hAnsi="Calibri"/>
                <w:b/>
                <w:bCs/>
                <w:color w:val="1A1A1A"/>
                <w:sz w:val="19"/>
                <w:szCs w:val="19"/>
              </w:rPr>
              <w:t xml:space="preserve">Exit / Status</w:t>
            </w:r>
          </w:p>
        </w:tc>
        <w:tc>
          <w:tcPr>
            <w:tcW w:type="dxa" w:w="1000"/>
            <w:shd w:fill="E8E8E8" w:val="clear"/>
            <w:tcMar>
              <w:top w:type="dxa" w:w="60"/>
              <w:left w:type="dxa" w:w="100"/>
              <w:bottom w:type="dxa" w:w="60"/>
              <w:right w:type="dxa" w:w="100"/>
            </w:tcMar>
            <w:vAlign w:val="center"/>
          </w:tcPr>
          <w:p>
            <w:pPr>
              <w:jc w:val="left"/>
            </w:pPr>
            <w:r>
              <w:rPr>
                <w:rFonts w:ascii="Calibri" w:cs="Calibri" w:eastAsia="Calibri" w:hAnsi="Calibri"/>
                <w:b/>
                <w:bCs/>
                <w:color w:val="1A1A1A"/>
                <w:sz w:val="19"/>
                <w:szCs w:val="19"/>
              </w:rPr>
              <w:t xml:space="preserve">Hold</w:t>
            </w:r>
          </w:p>
        </w:tc>
      </w:tr>
      <w:tr>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Aven</w:t>
            </w:r>
          </w:p>
        </w:tc>
        <w:tc>
          <w:tcPr>
            <w:tcW w:type="dxa" w:w="11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2.0x</w:t>
            </w:r>
          </w:p>
        </w:tc>
        <w:tc>
          <w:tcPr>
            <w:tcW w:type="dxa" w:w="13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39.7%</w:t>
            </w:r>
          </w:p>
        </w:tc>
        <w:tc>
          <w:tcPr>
            <w:tcW w:type="dxa" w:w="21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Active</w:t>
            </w:r>
          </w:p>
        </w:tc>
        <w:tc>
          <w:tcPr>
            <w:tcW w:type="dxa" w:w="10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w:t>
            </w:r>
          </w:p>
        </w:tc>
      </w:tr>
      <w:tr>
        <w:tc>
          <w:tcPr>
            <w:tcW w:type="dxa" w:w="2200"/>
            <w:shd w:fill="F4F4F4"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Base Power</w:t>
            </w:r>
          </w:p>
        </w:tc>
        <w:tc>
          <w:tcPr>
            <w:tcW w:type="dxa" w:w="1100"/>
            <w:shd w:fill="F4F4F4"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3.0x</w:t>
            </w:r>
          </w:p>
        </w:tc>
        <w:tc>
          <w:tcPr>
            <w:tcW w:type="dxa" w:w="1300"/>
            <w:shd w:fill="F4F4F4"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459.0%</w:t>
            </w:r>
          </w:p>
        </w:tc>
        <w:tc>
          <w:tcPr>
            <w:tcW w:type="dxa" w:w="2100"/>
            <w:shd w:fill="F4F4F4"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Active</w:t>
            </w:r>
          </w:p>
        </w:tc>
        <w:tc>
          <w:tcPr>
            <w:tcW w:type="dxa" w:w="1000"/>
            <w:shd w:fill="F4F4F4"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w:t>
            </w:r>
          </w:p>
        </w:tc>
      </w:tr>
      <w:tr>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CoreWeave</w:t>
            </w:r>
          </w:p>
        </w:tc>
        <w:tc>
          <w:tcPr>
            <w:tcW w:type="dxa" w:w="11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2.6x</w:t>
            </w:r>
          </w:p>
        </w:tc>
        <w:tc>
          <w:tcPr>
            <w:tcW w:type="dxa" w:w="13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574.5%</w:t>
            </w:r>
          </w:p>
        </w:tc>
        <w:tc>
          <w:tcPr>
            <w:tcW w:type="dxa" w:w="21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IPO</w:t>
            </w:r>
          </w:p>
        </w:tc>
        <w:tc>
          <w:tcPr>
            <w:tcW w:type="dxa" w:w="10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6 mo</w:t>
            </w:r>
          </w:p>
        </w:tc>
      </w:tr>
      <w:tr>
        <w:tc>
          <w:tcPr>
            <w:tcW w:type="dxa" w:w="2200"/>
            <w:shd w:fill="F4F4F4"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Groq</w:t>
            </w:r>
          </w:p>
        </w:tc>
        <w:tc>
          <w:tcPr>
            <w:tcW w:type="dxa" w:w="1100"/>
            <w:shd w:fill="F4F4F4"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4.7x</w:t>
            </w:r>
          </w:p>
        </w:tc>
        <w:tc>
          <w:tcPr>
            <w:tcW w:type="dxa" w:w="1300"/>
            <w:shd w:fill="F4F4F4"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205.4%</w:t>
            </w:r>
          </w:p>
        </w:tc>
        <w:tc>
          <w:tcPr>
            <w:tcW w:type="dxa" w:w="2100"/>
            <w:shd w:fill="F4F4F4"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M&amp;A</w:t>
            </w:r>
          </w:p>
        </w:tc>
        <w:tc>
          <w:tcPr>
            <w:tcW w:type="dxa" w:w="1000"/>
            <w:shd w:fill="F4F4F4"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17 mo</w:t>
            </w:r>
          </w:p>
        </w:tc>
      </w:tr>
      <w:tr>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Scale AI</w:t>
            </w:r>
          </w:p>
        </w:tc>
        <w:tc>
          <w:tcPr>
            <w:tcW w:type="dxa" w:w="11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2.0x</w:t>
            </w:r>
          </w:p>
        </w:tc>
        <w:tc>
          <w:tcPr>
            <w:tcW w:type="dxa" w:w="13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114.3%</w:t>
            </w:r>
          </w:p>
        </w:tc>
        <w:tc>
          <w:tcPr>
            <w:tcW w:type="dxa" w:w="21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M&amp;A</w:t>
            </w:r>
          </w:p>
        </w:tc>
        <w:tc>
          <w:tcPr>
            <w:tcW w:type="dxa" w:w="10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11 mo</w:t>
            </w:r>
          </w:p>
        </w:tc>
      </w:tr>
      <w:tr>
        <w:tc>
          <w:tcPr>
            <w:tcW w:type="dxa" w:w="2200"/>
            <w:shd w:fill="F4F4F4"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Replit</w:t>
            </w:r>
          </w:p>
        </w:tc>
        <w:tc>
          <w:tcPr>
            <w:tcW w:type="dxa" w:w="1100"/>
            <w:shd w:fill="F4F4F4"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3.0x</w:t>
            </w:r>
          </w:p>
        </w:tc>
        <w:tc>
          <w:tcPr>
            <w:tcW w:type="dxa" w:w="1300"/>
            <w:shd w:fill="F4F4F4"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364.8%</w:t>
            </w:r>
          </w:p>
        </w:tc>
        <w:tc>
          <w:tcPr>
            <w:tcW w:type="dxa" w:w="2100"/>
            <w:shd w:fill="F4F4F4"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Active</w:t>
            </w:r>
          </w:p>
        </w:tc>
        <w:tc>
          <w:tcPr>
            <w:tcW w:type="dxa" w:w="1000"/>
            <w:shd w:fill="F4F4F4"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w:t>
            </w:r>
          </w:p>
        </w:tc>
      </w:tr>
      <w:tr>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Together AI</w:t>
            </w:r>
          </w:p>
        </w:tc>
        <w:tc>
          <w:tcPr>
            <w:tcW w:type="dxa" w:w="11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2.3x</w:t>
            </w:r>
          </w:p>
        </w:tc>
        <w:tc>
          <w:tcPr>
            <w:tcW w:type="dxa" w:w="13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99.0%</w:t>
            </w:r>
          </w:p>
        </w:tc>
        <w:tc>
          <w:tcPr>
            <w:tcW w:type="dxa" w:w="21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Active</w:t>
            </w:r>
          </w:p>
        </w:tc>
        <w:tc>
          <w:tcPr>
            <w:tcW w:type="dxa" w:w="10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w:t>
            </w:r>
          </w:p>
        </w:tc>
      </w:tr>
      <w:tr>
        <w:tc>
          <w:tcPr>
            <w:tcW w:type="dxa" w:w="2200"/>
            <w:shd w:fill="F4F4F4"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Saronic</w:t>
            </w:r>
          </w:p>
        </w:tc>
        <w:tc>
          <w:tcPr>
            <w:tcW w:type="dxa" w:w="1100"/>
            <w:shd w:fill="F4F4F4"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1.0x</w:t>
            </w:r>
          </w:p>
        </w:tc>
        <w:tc>
          <w:tcPr>
            <w:tcW w:type="dxa" w:w="1300"/>
            <w:shd w:fill="F4F4F4"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w:t>
            </w:r>
          </w:p>
        </w:tc>
        <w:tc>
          <w:tcPr>
            <w:tcW w:type="dxa" w:w="2100"/>
            <w:shd w:fill="F4F4F4"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At cost, new</w:t>
            </w:r>
          </w:p>
        </w:tc>
        <w:tc>
          <w:tcPr>
            <w:tcW w:type="dxa" w:w="1000"/>
            <w:shd w:fill="F4F4F4"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w:t>
            </w:r>
          </w:p>
        </w:tc>
      </w:tr>
      <w:tr>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Polymarket</w:t>
            </w:r>
          </w:p>
        </w:tc>
        <w:tc>
          <w:tcPr>
            <w:tcW w:type="dxa" w:w="11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1.2-1.3x</w:t>
            </w:r>
          </w:p>
        </w:tc>
        <w:tc>
          <w:tcPr>
            <w:tcW w:type="dxa" w:w="13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317.6%</w:t>
            </w:r>
          </w:p>
        </w:tc>
        <w:tc>
          <w:tcPr>
            <w:tcW w:type="dxa" w:w="21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Active</w:t>
            </w:r>
          </w:p>
        </w:tc>
        <w:tc>
          <w:tcPr>
            <w:tcW w:type="dxa" w:w="10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w:t>
            </w:r>
          </w:p>
        </w:tc>
      </w:tr>
      <w:tr>
        <w:tc>
          <w:tcPr>
            <w:tcW w:type="dxa" w:w="2200"/>
            <w:shd w:fill="F4F4F4"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Reflection AI</w:t>
            </w:r>
          </w:p>
        </w:tc>
        <w:tc>
          <w:tcPr>
            <w:tcW w:type="dxa" w:w="1100"/>
            <w:shd w:fill="F4F4F4"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1.0x</w:t>
            </w:r>
          </w:p>
        </w:tc>
        <w:tc>
          <w:tcPr>
            <w:tcW w:type="dxa" w:w="1300"/>
            <w:shd w:fill="F4F4F4"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w:t>
            </w:r>
          </w:p>
        </w:tc>
        <w:tc>
          <w:tcPr>
            <w:tcW w:type="dxa" w:w="2100"/>
            <w:shd w:fill="F4F4F4"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At cost, new</w:t>
            </w:r>
          </w:p>
        </w:tc>
        <w:tc>
          <w:tcPr>
            <w:tcW w:type="dxa" w:w="1000"/>
            <w:shd w:fill="F4F4F4"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w:t>
            </w:r>
          </w:p>
        </w:tc>
      </w:tr>
    </w:tbl>
    <w:p>
      <w:pPr>
        <w:spacing w:after="140" w:line="276"/>
      </w:pPr>
      <w:r>
        <w:rPr>
          <w:rFonts w:ascii="Calibri" w:cs="Calibri" w:eastAsia="Calibri" w:hAnsi="Calibri"/>
          <w:sz w:val="21"/>
          <w:szCs w:val="21"/>
        </w:rPr>
        <w:t xml:space="preserve">Manager-level blended across the book: 2.2 year average hold, 1.9x MOIC, 158.3% IRR.</w:t>
      </w:r>
    </w:p>
    <w:p>
      <w:pPr>
        <w:spacing w:after="80" w:before="200"/>
      </w:pPr>
      <w:r>
        <w:rPr>
          <w:rFonts w:ascii="Calibri" w:cs="Calibri" w:eastAsia="Calibri" w:hAnsi="Calibri"/>
          <w:b/>
          <w:bCs/>
          <w:color w:val="1A1A1A"/>
          <w:sz w:val="21"/>
          <w:szCs w:val="21"/>
        </w:rPr>
        <w:t xml:space="preserve">8.4.1 Subcategory checklist</w:t>
      </w:r>
    </w:p>
    <w:p>
      <w:pPr>
        <w:pStyle w:val="ListParagraph"/>
        <w:numPr>
          <w:ilvl w:val="0"/>
          <w:numId w:val="8"/>
        </w:numPr>
        <w:spacing w:after="80" w:line="260"/>
      </w:pPr>
      <w:r>
        <w:rPr>
          <w:rFonts w:ascii="Calibri" w:cs="Calibri" w:eastAsia="Calibri" w:hAnsi="Calibri"/>
          <w:sz w:val="21"/>
          <w:szCs w:val="21"/>
        </w:rPr>
        <w:t xml:space="preserve">Entry valuation vs. growth-adjusted multiple: is the entry multiple justified once growth and margin trajectory are factored in, not judged on multiple alone.</w:t>
      </w:r>
    </w:p>
    <w:p>
      <w:pPr>
        <w:pStyle w:val="ListParagraph"/>
        <w:numPr>
          <w:ilvl w:val="0"/>
          <w:numId w:val="8"/>
        </w:numPr>
        <w:spacing w:after="80" w:line="260"/>
      </w:pPr>
      <w:r>
        <w:rPr>
          <w:rFonts w:ascii="Calibri" w:cs="Calibri" w:eastAsia="Calibri" w:hAnsi="Calibri"/>
          <w:sz w:val="21"/>
          <w:szCs w:val="21"/>
        </w:rPr>
        <w:t xml:space="preserve">Base-case MOIC realism: what must be true, on revenue, margin, and exit multiple, for 6x, and is that the base case or the bull case dressed up as one.</w:t>
      </w:r>
    </w:p>
    <w:p>
      <w:pPr>
        <w:pStyle w:val="ListParagraph"/>
        <w:numPr>
          <w:ilvl w:val="0"/>
          <w:numId w:val="8"/>
        </w:numPr>
        <w:spacing w:after="80" w:line="260"/>
      </w:pPr>
      <w:r>
        <w:rPr>
          <w:rFonts w:ascii="Calibri" w:cs="Calibri" w:eastAsia="Calibri" w:hAnsi="Calibri"/>
          <w:sz w:val="21"/>
          <w:szCs w:val="21"/>
        </w:rPr>
        <w:t xml:space="preserve">Exit path clarity: IPO readiness, active M&amp;A appetite in the sector, precedent exits of genuinely comparable companies.</w:t>
      </w:r>
    </w:p>
    <w:p>
      <w:pPr>
        <w:pStyle w:val="ListParagraph"/>
        <w:numPr>
          <w:ilvl w:val="0"/>
          <w:numId w:val="8"/>
        </w:numPr>
        <w:spacing w:after="80" w:line="260"/>
      </w:pPr>
      <w:r>
        <w:rPr>
          <w:rFonts w:ascii="Calibri" w:cs="Calibri" w:eastAsia="Calibri" w:hAnsi="Calibri"/>
          <w:sz w:val="21"/>
          <w:szCs w:val="21"/>
        </w:rPr>
        <w:t xml:space="preserve">Dilution modeling: explicitly model at least two future financing rounds (roughly 20-25% each) before exit.</w:t>
      </w:r>
    </w:p>
    <w:p>
      <w:pPr>
        <w:pStyle w:val="ListParagraph"/>
        <w:numPr>
          <w:ilvl w:val="0"/>
          <w:numId w:val="8"/>
        </w:numPr>
        <w:spacing w:after="80" w:line="260"/>
      </w:pPr>
      <w:r>
        <w:rPr>
          <w:rFonts w:ascii="Calibri" w:cs="Calibri" w:eastAsia="Calibri" w:hAnsi="Calibri"/>
          <w:sz w:val="21"/>
          <w:szCs w:val="21"/>
        </w:rPr>
        <w:t xml:space="preserve">Time to liquidity / IRR sensitivity: MOIC alone is insufficient; the same MOIC over 4 years vs. 12 years is a fundamentally different IRR outcome.</w:t>
      </w:r>
    </w:p>
    <w:p>
      <w:pPr>
        <w:pStyle w:val="ListParagraph"/>
        <w:numPr>
          <w:ilvl w:val="0"/>
          <w:numId w:val="8"/>
        </w:numPr>
        <w:spacing w:after="80" w:line="260"/>
      </w:pPr>
      <w:r>
        <w:rPr>
          <w:rFonts w:ascii="Calibri" w:cs="Calibri" w:eastAsia="Calibri" w:hAnsi="Calibri"/>
          <w:sz w:val="21"/>
          <w:szCs w:val="21"/>
        </w:rPr>
        <w:t xml:space="preserve">Downside protection: liquidation preference, pro-rata rights, seniority; for secondaries, discount or premium paid vs. the last priced round.</w:t>
      </w:r>
    </w:p>
    <w:p>
      <w:pPr>
        <w:pStyle w:val="ListParagraph"/>
        <w:numPr>
          <w:ilvl w:val="0"/>
          <w:numId w:val="8"/>
        </w:numPr>
        <w:spacing w:after="80" w:line="260"/>
      </w:pPr>
      <w:r>
        <w:rPr>
          <w:rFonts w:ascii="Calibri" w:cs="Calibri" w:eastAsia="Calibri" w:hAnsi="Calibri"/>
          <w:sz w:val="21"/>
          <w:szCs w:val="21"/>
        </w:rPr>
        <w:t xml:space="preserve">Comparable exit multiples: anchor exit-multiple assumptions to a genuinely comparable precedent set, not aspirational comps from a different category or cycle peak.</w:t>
      </w:r>
    </w:p>
    <w:p>
      <w:pPr>
        <w:pStyle w:val="ListParagraph"/>
        <w:numPr>
          <w:ilvl w:val="0"/>
          <w:numId w:val="8"/>
        </w:numPr>
        <w:spacing w:after="80" w:line="260"/>
      </w:pPr>
      <w:r>
        <w:rPr>
          <w:rFonts w:ascii="Calibri" w:cs="Calibri" w:eastAsia="Calibri" w:hAnsi="Calibri"/>
          <w:sz w:val="21"/>
          <w:szCs w:val="21"/>
        </w:rPr>
        <w:t xml:space="preserve">Follow-on capital availability: will this company be able to raise its next round at an up-round given current sector and stage investor appetite.</w:t>
      </w:r>
    </w:p>
    <w:p>
      <w:pPr>
        <w:pStyle w:val="ListParagraph"/>
        <w:numPr>
          <w:ilvl w:val="0"/>
          <w:numId w:val="8"/>
        </w:numPr>
        <w:spacing w:after="80" w:line="260"/>
      </w:pPr>
      <w:r>
        <w:rPr>
          <w:rFonts w:ascii="Calibri" w:cs="Calibri" w:eastAsia="Calibri" w:hAnsi="Calibri"/>
          <w:sz w:val="21"/>
          <w:szCs w:val="21"/>
        </w:rPr>
        <w:t xml:space="preserve">Secondary market demand signal: check whether the company appears on the current Setter Capital "Setter 30" (deck p.16, ID8's quarterly-ranked list of the most sought-after venture-backed companies in the global secondary market; ID8 already has three portfolio companies on it), or is reported as actively traded by Forge, Caplight, EquityZen, or similar secondary marketplaces. External, checkable corroboration of the modeled exit thesis, not a substitute for it.</w:t>
      </w:r>
    </w:p>
    <w:p>
      <w:pPr>
        <w:pStyle w:val="ListParagraph"/>
        <w:numPr>
          <w:ilvl w:val="0"/>
          <w:numId w:val="8"/>
        </w:numPr>
        <w:spacing w:after="80" w:line="260"/>
      </w:pPr>
      <w:r>
        <w:rPr>
          <w:rFonts w:ascii="Calibri" w:cs="Calibri" w:eastAsia="Calibri" w:hAnsi="Calibri"/>
          <w:sz w:val="21"/>
          <w:szCs w:val="21"/>
        </w:rPr>
        <w:t xml:space="preserve">Portfolio fit / concentration: does this deal diversify ID8's book or concentrate it further in an already-heavy thesis, sector, or vintage.</w:t>
      </w:r>
    </w:p>
    <w:p>
      <w:pPr>
        <w:pStyle w:val="Heading2"/>
        <w:spacing w:after="120" w:before="300"/>
      </w:pPr>
      <w:r>
        <w:rPr>
          <w:rFonts w:ascii="Calibri" w:cs="Calibri" w:eastAsia="Calibri" w:hAnsi="Calibri"/>
          <w:b/>
          <w:bCs/>
          <w:color w:val="1A1A1A"/>
          <w:sz w:val="24"/>
          <w:szCs w:val="24"/>
        </w:rPr>
        <w:t xml:space="preserve">8.5 AI Score (20%)</w:t>
      </w:r>
    </w:p>
    <w:p>
      <w:pPr>
        <w:spacing w:after="140" w:line="276"/>
      </w:pPr>
      <w:r>
        <w:rPr>
          <w:rFonts w:ascii="Calibri" w:cs="Calibri" w:eastAsia="Calibri" w:hAnsi="Calibri"/>
          <w:sz w:val="21"/>
          <w:szCs w:val="21"/>
        </w:rPr>
        <w:t xml:space="preserve">Tests whether AI constitutes the company's actual moat, or is a feature layer a foundational-model update could replicate. The replicability test: could this product become a plugin or default feature of Claude, GPT, or Gemini without material loss? If yes, it scores 2 or below. Scored and weighted at exact parity with the other four dimensions, but its bottom anchor is still a hard auto-pass, exactly like Lead / Round Dynamics' bottom anchor: a real 1-4 score is required either way, and "no meaningful AI" ends the deal on its own regardless of everything else.</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900"/>
        <w:gridCol w:w="8000"/>
      </w:tblGrid>
      <w:tr>
        <w:trPr>
          <w:tblHeader/>
        </w:trPr>
        <w:tc>
          <w:tcPr>
            <w:tcW w:type="dxa" w:w="900"/>
            <w:shd w:fill="E8E8E8" w:val="clear"/>
            <w:tcMar>
              <w:top w:type="dxa" w:w="60"/>
              <w:left w:type="dxa" w:w="100"/>
              <w:bottom w:type="dxa" w:w="60"/>
              <w:right w:type="dxa" w:w="100"/>
            </w:tcMar>
            <w:vAlign w:val="center"/>
          </w:tcPr>
          <w:p>
            <w:pPr>
              <w:jc w:val="left"/>
            </w:pPr>
            <w:r>
              <w:rPr>
                <w:rFonts w:ascii="Calibri" w:cs="Calibri" w:eastAsia="Calibri" w:hAnsi="Calibri"/>
                <w:b/>
                <w:bCs/>
                <w:color w:val="1A1A1A"/>
                <w:sz w:val="19"/>
                <w:szCs w:val="19"/>
              </w:rPr>
              <w:t xml:space="preserve">Score</w:t>
            </w:r>
          </w:p>
        </w:tc>
        <w:tc>
          <w:tcPr>
            <w:tcW w:type="dxa" w:w="8000"/>
            <w:shd w:fill="E8E8E8" w:val="clear"/>
            <w:tcMar>
              <w:top w:type="dxa" w:w="60"/>
              <w:left w:type="dxa" w:w="100"/>
              <w:bottom w:type="dxa" w:w="60"/>
              <w:right w:type="dxa" w:w="100"/>
            </w:tcMar>
            <w:vAlign w:val="center"/>
          </w:tcPr>
          <w:p>
            <w:pPr>
              <w:jc w:val="left"/>
            </w:pPr>
            <w:r>
              <w:rPr>
                <w:rFonts w:ascii="Calibri" w:cs="Calibri" w:eastAsia="Calibri" w:hAnsi="Calibri"/>
                <w:b/>
                <w:bCs/>
                <w:color w:val="1A1A1A"/>
                <w:sz w:val="19"/>
                <w:szCs w:val="19"/>
              </w:rPr>
              <w:t xml:space="preserve">Anchor</w:t>
            </w:r>
          </w:p>
        </w:tc>
      </w:tr>
      <w:tr>
        <w:tc>
          <w:tcPr>
            <w:tcW w:type="dxa" w:w="900"/>
            <w:tcMar>
              <w:top w:type="dxa" w:w="60"/>
              <w:left w:type="dxa" w:w="100"/>
              <w:bottom w:type="dxa" w:w="60"/>
              <w:right w:type="dxa" w:w="100"/>
            </w:tcMar>
            <w:vAlign w:val="center"/>
          </w:tcPr>
          <w:p>
            <w:pPr>
              <w:jc w:val="left"/>
            </w:pPr>
            <w:r>
              <w:rPr>
                <w:rFonts w:ascii="Calibri" w:cs="Calibri" w:eastAsia="Calibri" w:hAnsi="Calibri"/>
                <w:b/>
                <w:bCs/>
                <w:color w:val="1A1A1A"/>
                <w:sz w:val="19"/>
                <w:szCs w:val="19"/>
              </w:rPr>
              <w:t xml:space="preserve">4</w:t>
            </w:r>
          </w:p>
        </w:tc>
        <w:tc>
          <w:tcPr>
            <w:tcW w:type="dxa" w:w="80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Pure-play AI. Architecture, proprietary data flywheel, or fine-tuned model is defensible and the core moat, and cannot be trivially replicated by a model update.</w:t>
            </w:r>
          </w:p>
        </w:tc>
      </w:tr>
      <w:tr>
        <w:tc>
          <w:tcPr>
            <w:tcW w:type="dxa" w:w="900"/>
            <w:tcMar>
              <w:top w:type="dxa" w:w="60"/>
              <w:left w:type="dxa" w:w="100"/>
              <w:bottom w:type="dxa" w:w="60"/>
              <w:right w:type="dxa" w:w="100"/>
            </w:tcMar>
            <w:vAlign w:val="center"/>
          </w:tcPr>
          <w:p>
            <w:pPr>
              <w:jc w:val="left"/>
            </w:pPr>
            <w:r>
              <w:rPr>
                <w:rFonts w:ascii="Calibri" w:cs="Calibri" w:eastAsia="Calibri" w:hAnsi="Calibri"/>
                <w:b/>
                <w:bCs/>
                <w:color w:val="1A1A1A"/>
                <w:sz w:val="19"/>
                <w:szCs w:val="19"/>
              </w:rPr>
              <w:t xml:space="preserve">3</w:t>
            </w:r>
          </w:p>
        </w:tc>
        <w:tc>
          <w:tcPr>
            <w:tcW w:type="dxa" w:w="80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AI-enabled with structural advantage: AI materially drives margin structure, data compounding, customer value prop, or distribution. Includes vertical AI with regulatory or workflow moats (health AI, compliance).</w:t>
            </w:r>
          </w:p>
        </w:tc>
      </w:tr>
      <w:tr>
        <w:tc>
          <w:tcPr>
            <w:tcW w:type="dxa" w:w="900"/>
            <w:tcMar>
              <w:top w:type="dxa" w:w="60"/>
              <w:left w:type="dxa" w:w="100"/>
              <w:bottom w:type="dxa" w:w="60"/>
              <w:right w:type="dxa" w:w="100"/>
            </w:tcMar>
            <w:vAlign w:val="center"/>
          </w:tcPr>
          <w:p>
            <w:pPr>
              <w:jc w:val="left"/>
            </w:pPr>
            <w:r>
              <w:rPr>
                <w:rFonts w:ascii="Calibri" w:cs="Calibri" w:eastAsia="Calibri" w:hAnsi="Calibri"/>
                <w:b/>
                <w:bCs/>
                <w:color w:val="1A1A1A"/>
                <w:sz w:val="19"/>
                <w:szCs w:val="19"/>
              </w:rPr>
              <w:t xml:space="preserve">2</w:t>
            </w:r>
          </w:p>
        </w:tc>
        <w:tc>
          <w:tcPr>
            <w:tcW w:type="dxa" w:w="80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AI-adjacent / feature layer. Uses AI as a feature, not a moat; value prop does not depend on it; easily replicated by a model update or platform entry.</w:t>
            </w:r>
          </w:p>
        </w:tc>
      </w:tr>
      <w:tr>
        <w:tc>
          <w:tcPr>
            <w:tcW w:type="dxa" w:w="900"/>
            <w:tcMar>
              <w:top w:type="dxa" w:w="60"/>
              <w:left w:type="dxa" w:w="100"/>
              <w:bottom w:type="dxa" w:w="60"/>
              <w:right w:type="dxa" w:w="100"/>
            </w:tcMar>
            <w:vAlign w:val="center"/>
          </w:tcPr>
          <w:p>
            <w:pPr>
              <w:jc w:val="left"/>
            </w:pPr>
            <w:r>
              <w:rPr>
                <w:rFonts w:ascii="Calibri" w:cs="Calibri" w:eastAsia="Calibri" w:hAnsi="Calibri"/>
                <w:b/>
                <w:bCs/>
                <w:color w:val="B00020"/>
                <w:sz w:val="19"/>
                <w:szCs w:val="19"/>
              </w:rPr>
              <w:t xml:space="preserve">1</w:t>
            </w:r>
          </w:p>
        </w:tc>
        <w:tc>
          <w:tcPr>
            <w:tcMar>
              <w:top w:type="dxa" w:w="60"/>
              <w:left w:type="dxa" w:w="100"/>
              <w:bottom w:type="dxa" w:w="60"/>
              <w:right w:type="dxa" w:w="100"/>
            </w:tcMar>
            <w:vAlign w:val="center"/>
          </w:tcPr>
          <w:p>
            <w:pPr>
              <w:jc w:val="left"/>
            </w:pPr>
            <w:r>
              <w:rPr>
                <w:rFonts w:ascii="Calibri" w:cs="Calibri" w:eastAsia="Calibri" w:hAnsi="Calibri"/>
                <w:b/>
                <w:bCs/>
                <w:color w:val="B00020"/>
                <w:sz w:val="19"/>
                <w:szCs w:val="19"/>
              </w:rPr>
              <w:t xml:space="preserve">No meaningful AI component: pure software, services, or hardware. ID8's mandate is AI-focused.</w:t>
            </w:r>
          </w:p>
        </w:tc>
      </w:tr>
    </w:tbl>
    <w:p>
      <w:pPr>
        <w:spacing w:after="80" w:before="200"/>
      </w:pPr>
      <w:r>
        <w:rPr>
          <w:rFonts w:ascii="Calibri" w:cs="Calibri" w:eastAsia="Calibri" w:hAnsi="Calibri"/>
          <w:b/>
          <w:bCs/>
          <w:color w:val="1A1A1A"/>
          <w:sz w:val="21"/>
          <w:szCs w:val="21"/>
        </w:rPr>
        <w:t xml:space="preserve">8.5.1 Subcategory checklist</w:t>
      </w:r>
    </w:p>
    <w:p>
      <w:pPr>
        <w:pStyle w:val="ListParagraph"/>
        <w:numPr>
          <w:ilvl w:val="0"/>
          <w:numId w:val="9"/>
        </w:numPr>
        <w:spacing w:after="80" w:line="260"/>
      </w:pPr>
      <w:r>
        <w:rPr>
          <w:rFonts w:ascii="Calibri" w:cs="Calibri" w:eastAsia="Calibri" w:hAnsi="Calibri"/>
          <w:sz w:val="21"/>
          <w:szCs w:val="21"/>
        </w:rPr>
        <w:t xml:space="preserve">Architecture ownership: proprietary model, fine-tune, or training pipeline vs. a thin wrapper calling a third-party foundation-model API.</w:t>
      </w:r>
    </w:p>
    <w:p>
      <w:pPr>
        <w:pStyle w:val="ListParagraph"/>
        <w:numPr>
          <w:ilvl w:val="0"/>
          <w:numId w:val="9"/>
        </w:numPr>
        <w:spacing w:after="80" w:line="260"/>
      </w:pPr>
      <w:r>
        <w:rPr>
          <w:rFonts w:ascii="Calibri" w:cs="Calibri" w:eastAsia="Calibri" w:hAnsi="Calibri"/>
          <w:sz w:val="21"/>
          <w:szCs w:val="21"/>
        </w:rPr>
        <w:t xml:space="preserve">Data flywheel: does usage generate proprietary data that compounds product quality over time, with concrete evidence (stated improvement cadence, proprietary datasets, retraining cycle)?</w:t>
      </w:r>
    </w:p>
    <w:p>
      <w:pPr>
        <w:pStyle w:val="ListParagraph"/>
        <w:numPr>
          <w:ilvl w:val="0"/>
          <w:numId w:val="9"/>
        </w:numPr>
        <w:spacing w:after="80" w:line="260"/>
      </w:pPr>
      <w:r>
        <w:rPr>
          <w:rFonts w:ascii="Calibri" w:cs="Calibri" w:eastAsia="Calibri" w:hAnsi="Calibri"/>
          <w:sz w:val="21"/>
          <w:szCs w:val="21"/>
        </w:rPr>
        <w:t xml:space="preserve">Replicability test: could this product become a plugin or default feature of Claude, GPT, or Gemini without material loss? Name what specifically survives that test and what does not.</w:t>
      </w:r>
    </w:p>
    <w:p>
      <w:pPr>
        <w:pStyle w:val="ListParagraph"/>
        <w:numPr>
          <w:ilvl w:val="0"/>
          <w:numId w:val="9"/>
        </w:numPr>
        <w:spacing w:after="80" w:line="260"/>
      </w:pPr>
      <w:r>
        <w:rPr>
          <w:rFonts w:ascii="Calibri" w:cs="Calibri" w:eastAsia="Calibri" w:hAnsi="Calibri"/>
          <w:sz w:val="21"/>
          <w:szCs w:val="21"/>
        </w:rPr>
        <w:t xml:space="preserve">Technical team depth: research or ML headcount, published papers or technical blog posts, notable AI hires, vs. a generic engineering team bolting on API calls.</w:t>
      </w:r>
    </w:p>
    <w:p>
      <w:pPr>
        <w:pStyle w:val="ListParagraph"/>
        <w:numPr>
          <w:ilvl w:val="0"/>
          <w:numId w:val="9"/>
        </w:numPr>
        <w:spacing w:after="80" w:line="260"/>
      </w:pPr>
      <w:r>
        <w:rPr>
          <w:rFonts w:ascii="Calibri" w:cs="Calibri" w:eastAsia="Calibri" w:hAnsi="Calibri"/>
          <w:sz w:val="21"/>
          <w:szCs w:val="21"/>
        </w:rPr>
        <w:t xml:space="preserve">Compute / infra investment: evidence of real training or inference infrastructure spend (GPU clusters, model-serving cost structure) vs. a SaaS wrapper with negligible marginal AI cost.</w:t>
      </w:r>
    </w:p>
    <w:p>
      <w:pPr>
        <w:pStyle w:val="ListParagraph"/>
        <w:numPr>
          <w:ilvl w:val="0"/>
          <w:numId w:val="9"/>
        </w:numPr>
        <w:spacing w:after="80" w:line="260"/>
      </w:pPr>
      <w:r>
        <w:rPr>
          <w:rFonts w:ascii="Calibri" w:cs="Calibri" w:eastAsia="Calibri" w:hAnsi="Calibri"/>
          <w:sz w:val="21"/>
          <w:szCs w:val="21"/>
        </w:rPr>
        <w:t xml:space="preserve">Vertical workflow or regulatory moat: for vertical AI (health, legal, compliance), does the AI depend on workflow integration or regulatory approval a generic model cannot easily replicate?</w:t>
      </w:r>
    </w:p>
    <w:p>
      <w:pPr>
        <w:pStyle w:val="ListParagraph"/>
        <w:numPr>
          <w:ilvl w:val="0"/>
          <w:numId w:val="9"/>
        </w:numPr>
        <w:spacing w:after="80" w:line="260"/>
      </w:pPr>
      <w:r>
        <w:rPr>
          <w:rFonts w:ascii="Calibri" w:cs="Calibri" w:eastAsia="Calibri" w:hAnsi="Calibri"/>
          <w:sz w:val="21"/>
          <w:szCs w:val="21"/>
        </w:rPr>
        <w:t xml:space="preserve">Independent performance validation: any third-party benchmarks, evals, or comparisons validating the model's edge over commodity foundation models.</w:t>
      </w:r>
    </w:p>
    <w:p>
      <w:pPr>
        <w:pStyle w:val="ListParagraph"/>
        <w:numPr>
          <w:ilvl w:val="0"/>
          <w:numId w:val="9"/>
        </w:numPr>
        <w:spacing w:after="80" w:line="260"/>
      </w:pPr>
      <w:r>
        <w:rPr>
          <w:rFonts w:ascii="Calibri" w:cs="Calibri" w:eastAsia="Calibri" w:hAnsi="Calibri"/>
          <w:sz w:val="21"/>
          <w:szCs w:val="21"/>
        </w:rPr>
        <w:t xml:space="preserve">Margin structure tied to AI: does AI materially change unit economics (for example, automation displacing headcount-driven cost), with evidence of that margin shift?</w:t>
      </w:r>
    </w:p>
    <w:p>
      <w:pPr>
        <w:pStyle w:val="ListParagraph"/>
        <w:numPr>
          <w:ilvl w:val="0"/>
          <w:numId w:val="9"/>
        </w:numPr>
        <w:spacing w:after="80" w:line="260"/>
      </w:pPr>
      <w:r>
        <w:rPr>
          <w:rFonts w:ascii="Calibri" w:cs="Calibri" w:eastAsia="Calibri" w:hAnsi="Calibri"/>
          <w:sz w:val="21"/>
          <w:szCs w:val="21"/>
        </w:rPr>
        <w:t xml:space="preserve">Competitive response risk: history in this specific product category of feature-layer competitors getting steamrolled by a foundational-model update shipping a similar capability natively.</w:t>
      </w:r>
    </w:p>
    <w:p>
      <w:pPr>
        <w:pStyle w:val="ListParagraph"/>
        <w:numPr>
          <w:ilvl w:val="0"/>
          <w:numId w:val="9"/>
        </w:numPr>
        <w:spacing w:after="80" w:line="260"/>
      </w:pPr>
      <w:r>
        <w:rPr>
          <w:rFonts w:ascii="Calibri" w:cs="Calibri" w:eastAsia="Calibri" w:hAnsi="Calibri"/>
          <w:sz w:val="21"/>
          <w:szCs w:val="21"/>
        </w:rPr>
        <w:t xml:space="preserve">Narrative vs. reality check: does the company's public "AI-powered" messaging match the actual product architecture? Cross-check marketing claims against job postings, technical writing, and engineering talks.</w:t>
      </w:r>
    </w:p>
    <w:p>
      <w:pPr>
        <w:pStyle w:val="Heading2"/>
        <w:spacing w:after="120" w:before="300"/>
      </w:pPr>
      <w:r>
        <w:rPr>
          <w:rFonts w:ascii="Calibri" w:cs="Calibri" w:eastAsia="Calibri" w:hAnsi="Calibri"/>
          <w:b/>
          <w:bCs/>
          <w:color w:val="1A1A1A"/>
          <w:sz w:val="24"/>
          <w:szCs w:val="24"/>
        </w:rPr>
        <w:t xml:space="preserve">8.6 Terms (gate only, 0% weight)</w:t>
      </w:r>
    </w:p>
    <w:p>
      <w:pPr>
        <w:spacing w:after="140" w:line="276"/>
      </w:pPr>
      <w:r>
        <w:rPr>
          <w:rFonts w:ascii="Calibri" w:cs="Calibri" w:eastAsia="Calibri" w:hAnsi="Calibri"/>
          <w:sz w:val="21"/>
          <w:szCs w:val="21"/>
        </w:rPr>
        <w:t xml:space="preserve">Bad terms can make a good deal uninvestable. Scored 1-4 for the record and for hard-auto-pass detection, but excluded from both weighted_score() and raw_score(). ID8 does not pay a recurring management fee, ever; any deal with one is a hard auto-pass regardless of every other dimension.</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900"/>
        <w:gridCol w:w="8000"/>
      </w:tblGrid>
      <w:tr>
        <w:trPr>
          <w:tblHeader/>
        </w:trPr>
        <w:tc>
          <w:tcPr>
            <w:tcW w:type="dxa" w:w="900"/>
            <w:shd w:fill="E8E8E8" w:val="clear"/>
            <w:tcMar>
              <w:top w:type="dxa" w:w="60"/>
              <w:left w:type="dxa" w:w="100"/>
              <w:bottom w:type="dxa" w:w="60"/>
              <w:right w:type="dxa" w:w="100"/>
            </w:tcMar>
            <w:vAlign w:val="center"/>
          </w:tcPr>
          <w:p>
            <w:pPr>
              <w:jc w:val="left"/>
            </w:pPr>
            <w:r>
              <w:rPr>
                <w:rFonts w:ascii="Calibri" w:cs="Calibri" w:eastAsia="Calibri" w:hAnsi="Calibri"/>
                <w:b/>
                <w:bCs/>
                <w:color w:val="1A1A1A"/>
                <w:sz w:val="19"/>
                <w:szCs w:val="19"/>
              </w:rPr>
              <w:t xml:space="preserve">Score</w:t>
            </w:r>
          </w:p>
        </w:tc>
        <w:tc>
          <w:tcPr>
            <w:tcW w:type="dxa" w:w="8000"/>
            <w:shd w:fill="E8E8E8" w:val="clear"/>
            <w:tcMar>
              <w:top w:type="dxa" w:w="60"/>
              <w:left w:type="dxa" w:w="100"/>
              <w:bottom w:type="dxa" w:w="60"/>
              <w:right w:type="dxa" w:w="100"/>
            </w:tcMar>
            <w:vAlign w:val="center"/>
          </w:tcPr>
          <w:p>
            <w:pPr>
              <w:jc w:val="left"/>
            </w:pPr>
            <w:r>
              <w:rPr>
                <w:rFonts w:ascii="Calibri" w:cs="Calibri" w:eastAsia="Calibri" w:hAnsi="Calibri"/>
                <w:b/>
                <w:bCs/>
                <w:color w:val="1A1A1A"/>
                <w:sz w:val="19"/>
                <w:szCs w:val="19"/>
              </w:rPr>
              <w:t xml:space="preserve">Anchor</w:t>
            </w:r>
          </w:p>
        </w:tc>
      </w:tr>
      <w:tr>
        <w:tc>
          <w:tcPr>
            <w:tcW w:type="dxa" w:w="900"/>
            <w:tcMar>
              <w:top w:type="dxa" w:w="60"/>
              <w:left w:type="dxa" w:w="100"/>
              <w:bottom w:type="dxa" w:w="60"/>
              <w:right w:type="dxa" w:w="100"/>
            </w:tcMar>
            <w:vAlign w:val="center"/>
          </w:tcPr>
          <w:p>
            <w:pPr>
              <w:jc w:val="left"/>
            </w:pPr>
            <w:r>
              <w:rPr>
                <w:rFonts w:ascii="Calibri" w:cs="Calibri" w:eastAsia="Calibri" w:hAnsi="Calibri"/>
                <w:b/>
                <w:bCs/>
                <w:color w:val="1A1A1A"/>
                <w:sz w:val="19"/>
                <w:szCs w:val="19"/>
              </w:rPr>
              <w:t xml:space="preserve">4</w:t>
            </w:r>
          </w:p>
        </w:tc>
        <w:tc>
          <w:tcPr>
            <w:tcW w:type="dxa" w:w="80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Better than 0/0/10: carry below 10% with pro-rata confirmed, full information rights, clean single-layer SPV or direct co-invest, no upfront fee.</w:t>
            </w:r>
          </w:p>
        </w:tc>
      </w:tr>
      <w:tr>
        <w:tc>
          <w:tcPr>
            <w:tcW w:type="dxa" w:w="900"/>
            <w:tcMar>
              <w:top w:type="dxa" w:w="60"/>
              <w:left w:type="dxa" w:w="100"/>
              <w:bottom w:type="dxa" w:w="60"/>
              <w:right w:type="dxa" w:w="100"/>
            </w:tcMar>
            <w:vAlign w:val="center"/>
          </w:tcPr>
          <w:p>
            <w:pPr>
              <w:jc w:val="left"/>
            </w:pPr>
            <w:r>
              <w:rPr>
                <w:rFonts w:ascii="Calibri" w:cs="Calibri" w:eastAsia="Calibri" w:hAnsi="Calibri"/>
                <w:b/>
                <w:bCs/>
                <w:color w:val="1A1A1A"/>
                <w:sz w:val="19"/>
                <w:szCs w:val="19"/>
              </w:rPr>
              <w:t xml:space="preserve">3</w:t>
            </w:r>
          </w:p>
        </w:tc>
        <w:tc>
          <w:tcPr>
            <w:tcW w:type="dxa" w:w="80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Standard 0/0/10, the ID8 baseline: 0% recurring management fee, 0% upfront access fee, 10% carry, reasonable time horizon, some information rights.</w:t>
            </w:r>
          </w:p>
        </w:tc>
      </w:tr>
      <w:tr>
        <w:tc>
          <w:tcPr>
            <w:tcW w:type="dxa" w:w="900"/>
            <w:tcMar>
              <w:top w:type="dxa" w:w="60"/>
              <w:left w:type="dxa" w:w="100"/>
              <w:bottom w:type="dxa" w:w="60"/>
              <w:right w:type="dxa" w:w="100"/>
            </w:tcMar>
            <w:vAlign w:val="center"/>
          </w:tcPr>
          <w:p>
            <w:pPr>
              <w:jc w:val="left"/>
            </w:pPr>
            <w:r>
              <w:rPr>
                <w:rFonts w:ascii="Calibri" w:cs="Calibri" w:eastAsia="Calibri" w:hAnsi="Calibri"/>
                <w:b/>
                <w:bCs/>
                <w:color w:val="1A1A1A"/>
                <w:sz w:val="19"/>
                <w:szCs w:val="19"/>
              </w:rPr>
              <w:t xml:space="preserve">2</w:t>
            </w:r>
          </w:p>
        </w:tc>
        <w:tc>
          <w:tcPr>
            <w:tcW w:type="dxa" w:w="80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Elevated carry (10-15%), no recurring management fee, upfront access fee at or below 2% (the Polymarket standard), limited information rights or multi-layer SPV.</w:t>
            </w:r>
          </w:p>
        </w:tc>
      </w:tr>
      <w:tr>
        <w:tc>
          <w:tcPr>
            <w:tcW w:type="dxa" w:w="900"/>
            <w:tcMar>
              <w:top w:type="dxa" w:w="60"/>
              <w:left w:type="dxa" w:w="100"/>
              <w:bottom w:type="dxa" w:w="60"/>
              <w:right w:type="dxa" w:w="100"/>
            </w:tcMar>
            <w:vAlign w:val="center"/>
          </w:tcPr>
          <w:p>
            <w:pPr>
              <w:jc w:val="left"/>
            </w:pPr>
            <w:r>
              <w:rPr>
                <w:rFonts w:ascii="Calibri" w:cs="Calibri" w:eastAsia="Calibri" w:hAnsi="Calibri"/>
                <w:b/>
                <w:bCs/>
                <w:color w:val="B00020"/>
                <w:sz w:val="19"/>
                <w:szCs w:val="19"/>
              </w:rPr>
              <w:t xml:space="preserve">1</w:t>
            </w:r>
          </w:p>
        </w:tc>
        <w:tc>
          <w:tcPr>
            <w:tcMar>
              <w:top w:type="dxa" w:w="60"/>
              <w:left w:type="dxa" w:w="100"/>
              <w:bottom w:type="dxa" w:w="60"/>
              <w:right w:type="dxa" w:w="100"/>
            </w:tcMar>
            <w:vAlign w:val="center"/>
          </w:tcPr>
          <w:p>
            <w:pPr>
              <w:jc w:val="left"/>
            </w:pPr>
            <w:r>
              <w:rPr>
                <w:rFonts w:ascii="Calibri" w:cs="Calibri" w:eastAsia="Calibri" w:hAnsi="Calibri"/>
                <w:b/>
                <w:bCs/>
                <w:color w:val="B00020"/>
                <w:sz w:val="19"/>
                <w:szCs w:val="19"/>
              </w:rPr>
              <w:t xml:space="preserve">Recurring annual management fee of any amount, or carry above 15% with upfront fee above 2%, or carry above 20% regardless of fee.</w:t>
            </w:r>
          </w:p>
        </w:tc>
      </w:tr>
    </w:tbl>
    <w:p>
      <w:pPr>
        <w:spacing w:after="140" w:line="276"/>
      </w:pPr>
      <w:r>
        <w:rPr>
          <w:rFonts w:ascii="Calibri" w:cs="Calibri" w:eastAsia="Calibri" w:hAnsi="Calibri"/>
          <w:sz w:val="21"/>
          <w:szCs w:val="21"/>
        </w:rPr>
        <w:t xml:space="preserve">Polymarket precedent for the Score 2/3 boundary: ID8 paid approximately $14 per share upfront on a $103.66 base (roughly 13.5% deal-level cost) for secondary entry into the NYSE/ICE-led $600M round, with no recurring fee and SPV carry of 14-15%. That is the ceiling: if carry is at or above 15%, the upfront fee must be at or below 2%. This anchor reflects the fund's actual live economics: fund-level terms are 2% management fee and 20% carry; the LP co-investment vehicle used for one-off secondary deals like Polymarket runs 2% upfront fee, 15% carry, no recurring management fee. This has been preserved verbatim since rubric v2.1; only the dimension's weighting changed across versions, not the gate logic itself.</w:t>
      </w:r>
    </w:p>
    <w:p>
      <w:r>
        <w:br w:type="page"/>
      </w:r>
    </w:p>
    <w:p>
      <w:pPr>
        <w:pStyle w:val="Heading1"/>
        <w:pBdr>
          <w:bottom w:val="single" w:color="1A1A1A" w:sz="6" w:space="4"/>
        </w:pBdr>
        <w:spacing w:after="200" w:before="400"/>
      </w:pPr>
      <w:r>
        <w:rPr>
          <w:rFonts w:ascii="Calibri" w:cs="Calibri" w:eastAsia="Calibri" w:hAnsi="Calibri"/>
          <w:b/>
          <w:bCs/>
          <w:color w:val="1A1A1A"/>
          <w:sz w:val="30"/>
          <w:szCs w:val="30"/>
        </w:rPr>
        <w:t xml:space="preserve">9. Hard Auto-Pass vs. Soft Pass</w:t>
      </w:r>
    </w:p>
    <w:p>
      <w:pPr>
        <w:spacing w:after="140" w:line="276"/>
      </w:pPr>
      <w:r>
        <w:rPr>
          <w:rFonts w:ascii="Calibri" w:cs="Calibri" w:eastAsia="Calibri" w:hAnsi="Calibri"/>
          <w:sz w:val="21"/>
          <w:szCs w:val="21"/>
        </w:rPr>
        <w:t xml:space="preserve">Not every Score 1 is a deal-killer. The rubric draws a hard line between conditions that end a deal outright and conditions that continue with caveats.</w:t>
      </w:r>
    </w:p>
    <w:p>
      <w:pPr>
        <w:pStyle w:val="Heading2"/>
        <w:spacing w:after="120" w:before="300"/>
      </w:pPr>
      <w:r>
        <w:rPr>
          <w:rFonts w:ascii="Calibri" w:cs="Calibri" w:eastAsia="Calibri" w:hAnsi="Calibri"/>
          <w:b/>
          <w:bCs/>
          <w:color w:val="1A1A1A"/>
          <w:sz w:val="24"/>
          <w:szCs w:val="24"/>
        </w:rPr>
        <w:t xml:space="preserve">9.1 Hard auto-pass: deal is over, regardless of the weighted average</w:t>
      </w:r>
    </w:p>
    <w:p>
      <w:pPr>
        <w:pStyle w:val="ListParagraph"/>
        <w:numPr>
          <w:ilvl w:val="0"/>
          <w:numId w:val="2"/>
        </w:numPr>
        <w:spacing w:after="80" w:line="260"/>
      </w:pPr>
      <w:r>
        <w:rPr>
          <w:rFonts w:ascii="Calibri" w:cs="Calibri" w:eastAsia="Calibri" w:hAnsi="Calibri"/>
          <w:sz w:val="21"/>
          <w:szCs w:val="21"/>
        </w:rPr>
        <w:t xml:space="preserve">No AI component</w:t>
      </w:r>
    </w:p>
    <w:p>
      <w:pPr>
        <w:pStyle w:val="ListParagraph"/>
        <w:numPr>
          <w:ilvl w:val="0"/>
          <w:numId w:val="2"/>
        </w:numPr>
        <w:spacing w:after="80" w:line="260"/>
      </w:pPr>
      <w:r>
        <w:rPr>
          <w:rFonts w:ascii="Calibri" w:cs="Calibri" w:eastAsia="Calibri" w:hAnsi="Calibri"/>
          <w:sz w:val="21"/>
          <w:szCs w:val="21"/>
        </w:rPr>
        <w:t xml:space="preserve">Recurring annual management fee, any amount</w:t>
      </w:r>
    </w:p>
    <w:p>
      <w:pPr>
        <w:pStyle w:val="ListParagraph"/>
        <w:numPr>
          <w:ilvl w:val="0"/>
          <w:numId w:val="2"/>
        </w:numPr>
        <w:spacing w:after="80" w:line="260"/>
      </w:pPr>
      <w:r>
        <w:rPr>
          <w:rFonts w:ascii="Calibri" w:cs="Calibri" w:eastAsia="Calibri" w:hAnsi="Calibri"/>
          <w:sz w:val="21"/>
          <w:szCs w:val="21"/>
        </w:rPr>
        <w:t xml:space="preserve">Carry above 15% with upfront fee above 2%, or carry above 20% regardless of fee</w:t>
      </w:r>
    </w:p>
    <w:p>
      <w:pPr>
        <w:pStyle w:val="ListParagraph"/>
        <w:numPr>
          <w:ilvl w:val="0"/>
          <w:numId w:val="2"/>
        </w:numPr>
        <w:spacing w:after="80" w:line="260"/>
      </w:pPr>
      <w:r>
        <w:rPr>
          <w:rFonts w:ascii="Calibri" w:cs="Calibri" w:eastAsia="Calibri" w:hAnsi="Calibri"/>
          <w:sz w:val="21"/>
          <w:szCs w:val="21"/>
        </w:rPr>
        <w:t xml:space="preserve">No credible access path (Score 1 on Lead / Round Dynamics)</w:t>
      </w:r>
    </w:p>
    <w:p>
      <w:pPr>
        <w:pStyle w:val="ListParagraph"/>
        <w:numPr>
          <w:ilvl w:val="0"/>
          <w:numId w:val="2"/>
        </w:numPr>
        <w:spacing w:after="80" w:line="260"/>
      </w:pPr>
      <w:r>
        <w:rPr>
          <w:rFonts w:ascii="Calibri" w:cs="Calibri" w:eastAsia="Calibri" w:hAnsi="Calibri"/>
          <w:sz w:val="21"/>
          <w:szCs w:val="21"/>
        </w:rPr>
        <w:t xml:space="preserve">Founder red flags: verified negative history</w:t>
      </w:r>
    </w:p>
    <w:p>
      <w:pPr>
        <w:pStyle w:val="ListParagraph"/>
        <w:numPr>
          <w:ilvl w:val="0"/>
          <w:numId w:val="2"/>
        </w:numPr>
        <w:spacing w:after="80" w:line="260"/>
      </w:pPr>
      <w:r>
        <w:rPr>
          <w:rFonts w:ascii="Calibri" w:cs="Calibri" w:eastAsia="Calibri" w:hAnsi="Calibri"/>
          <w:sz w:val="21"/>
          <w:szCs w:val="21"/>
        </w:rPr>
        <w:t xml:space="preserve">Confirmed, not undisclosed, weak fundamentals or sub-2x return potential</w:t>
      </w:r>
    </w:p>
    <w:p>
      <w:pPr>
        <w:pStyle w:val="Heading2"/>
        <w:spacing w:after="120" w:before="300"/>
      </w:pPr>
      <w:r>
        <w:rPr>
          <w:rFonts w:ascii="Calibri" w:cs="Calibri" w:eastAsia="Calibri" w:hAnsi="Calibri"/>
          <w:b/>
          <w:bCs/>
          <w:color w:val="1A1A1A"/>
          <w:sz w:val="24"/>
          <w:szCs w:val="24"/>
        </w:rPr>
        <w:t xml:space="preserve">9.2 Soft pass: continues with caveats, does not kill the deal</w:t>
      </w:r>
    </w:p>
    <w:p>
      <w:pPr>
        <w:pStyle w:val="ListParagraph"/>
        <w:numPr>
          <w:ilvl w:val="0"/>
          <w:numId w:val="2"/>
        </w:numPr>
        <w:spacing w:after="80" w:line="260"/>
      </w:pPr>
      <w:r>
        <w:rPr>
          <w:rFonts w:ascii="Calibri" w:cs="Calibri" w:eastAsia="Calibri" w:hAnsi="Calibri"/>
          <w:sz w:val="21"/>
          <w:szCs w:val="21"/>
        </w:rPr>
        <w:t xml:space="preserve">Revenue, NDR, burn, or LTV/CAC not publicly disclosed</w:t>
      </w:r>
    </w:p>
    <w:p>
      <w:pPr>
        <w:pStyle w:val="ListParagraph"/>
        <w:numPr>
          <w:ilvl w:val="0"/>
          <w:numId w:val="2"/>
        </w:numPr>
        <w:spacing w:after="80" w:line="260"/>
      </w:pPr>
      <w:r>
        <w:rPr>
          <w:rFonts w:ascii="Calibri" w:cs="Calibri" w:eastAsia="Calibri" w:hAnsi="Calibri"/>
          <w:sz w:val="21"/>
          <w:szCs w:val="21"/>
        </w:rPr>
        <w:t xml:space="preserve">Founder background unverified</w:t>
      </w:r>
    </w:p>
    <w:p>
      <w:pPr>
        <w:pStyle w:val="ListParagraph"/>
        <w:numPr>
          <w:ilvl w:val="0"/>
          <w:numId w:val="2"/>
        </w:numPr>
        <w:spacing w:after="80" w:line="260"/>
      </w:pPr>
      <w:r>
        <w:rPr>
          <w:rFonts w:ascii="Calibri" w:cs="Calibri" w:eastAsia="Calibri" w:hAnsi="Calibri"/>
          <w:sz w:val="21"/>
          <w:szCs w:val="21"/>
        </w:rPr>
        <w:t xml:space="preserve">Non-Tier-1 VC lead at Series B+</w:t>
      </w:r>
    </w:p>
    <w:p>
      <w:pPr>
        <w:spacing w:after="140" w:line="276"/>
      </w:pPr>
      <w:r>
        <w:rPr>
          <w:rFonts w:ascii="Calibri" w:cs="Calibri" w:eastAsia="Calibri" w:hAnsi="Calibri"/>
          <w:b/>
          <w:bCs/>
          <w:sz w:val="21"/>
          <w:szCs w:val="21"/>
        </w:rPr>
        <w:t xml:space="preserve">Critically, hard_auto_pass and watch_list are booleans the model reports explicitly in its JSON output. </w:t>
      </w:r>
      <w:r>
        <w:rPr>
          <w:rFonts w:ascii="Calibri" w:cs="Calibri" w:eastAsia="Calibri" w:hAnsi="Calibri"/>
          <w:sz w:val="21"/>
          <w:szCs w:val="21"/>
        </w:rPr>
        <w:t xml:space="preserve">Code does not derive either flag from the numeric fit_score. This is deliberate: a single dimension mis-scored to 1 by the model should never silently auto-kill an otherwise strong deal on its own; only an explicit, reasoned hard_auto_pass, with hard_auto_pass_reason quoting which rubric condition fired, does that.</w:t>
      </w:r>
    </w:p>
    <w:p>
      <w:pPr>
        <w:spacing w:after="140" w:line="276"/>
      </w:pPr>
      <w:r>
        <w:rPr>
          <w:rFonts w:ascii="Calibri" w:cs="Calibri" w:eastAsia="Calibri" w:hAnsi="Calibri"/>
          <w:sz w:val="21"/>
          <w:szCs w:val="21"/>
        </w:rPr>
        <w:t xml:space="preserve">Because Perplexity is a text model producing JSON rather than a strict function-calling API, these two fields occasionally come back as string values ("true", "yes") instead of real JSON booleans. stage1_fit.py's _truthy() helper coerces defensively: real booleans pass through, numeric values coerce via bool(), and any string is matched case-insensitively, stripped of whitespace, against "true", "yes", "y", "1".</w:t>
      </w:r>
    </w:p>
    <w:p>
      <w:pPr>
        <w:pStyle w:val="Heading1"/>
        <w:pBdr>
          <w:bottom w:val="single" w:color="1A1A1A" w:sz="6" w:space="4"/>
        </w:pBdr>
        <w:spacing w:after="200" w:before="400"/>
      </w:pPr>
      <w:r>
        <w:rPr>
          <w:rFonts w:ascii="Calibri" w:cs="Calibri" w:eastAsia="Calibri" w:hAnsi="Calibri"/>
          <w:b/>
          <w:bCs/>
          <w:color w:val="1A1A1A"/>
          <w:sz w:val="30"/>
          <w:szCs w:val="30"/>
        </w:rPr>
        <w:t xml:space="preserve">10. Tier Assignment and the Gate</w:t>
      </w:r>
    </w:p>
    <w:p>
      <w:pPr>
        <w:spacing w:after="140" w:line="276"/>
      </w:pPr>
      <w:r>
        <w:rPr>
          <w:rFonts w:ascii="Calibri" w:cs="Calibri" w:eastAsia="Calibri" w:hAnsi="Calibri"/>
          <w:sz w:val="21"/>
          <w:szCs w:val="21"/>
        </w:rPr>
        <w:t xml:space="preserve">stage1_fit.py's _tier() function is where fit_score, hard_auto_pass, and watch_list combine into the final quality_tier and gate. This part is pure code, deterministic, and evaluated in this exact order:</w:t>
      </w:r>
    </w:p>
    <w:p>
      <w:pPr>
        <w:pStyle w:val="ListParagraph"/>
        <w:numPr>
          <w:ilvl w:val="0"/>
          <w:numId w:val="10"/>
        </w:numPr>
        <w:spacing w:after="80" w:line="260"/>
      </w:pPr>
      <w:r>
        <w:rPr>
          <w:rFonts w:ascii="Calibri" w:cs="Calibri" w:eastAsia="Calibri" w:hAnsi="Calibri"/>
          <w:sz w:val="21"/>
          <w:szCs w:val="21"/>
        </w:rPr>
        <w:t xml:space="preserve">If hard_auto_pass is true: return quality_tier = "pass", gate = False. This check runs first and wins over everything else, including watch_list. A deal disqualified outright (no AI, bad terms, no credible access, and so on) is a Pass, not a "come back at Series B" Watch List, regardless of what stage it is at.</w:t>
      </w:r>
    </w:p>
    <w:p>
      <w:pPr>
        <w:pStyle w:val="ListParagraph"/>
        <w:numPr>
          <w:ilvl w:val="0"/>
          <w:numId w:val="10"/>
        </w:numPr>
        <w:spacing w:after="80" w:line="260"/>
      </w:pPr>
      <w:r>
        <w:rPr>
          <w:rFonts w:ascii="Calibri" w:cs="Calibri" w:eastAsia="Calibri" w:hAnsi="Calibri"/>
          <w:sz w:val="21"/>
          <w:szCs w:val="21"/>
        </w:rPr>
        <w:t xml:space="preserve">Else if watch_list is true: return quality_tier = "watch_list", gate = False.</w:t>
      </w:r>
    </w:p>
    <w:p>
      <w:pPr>
        <w:pStyle w:val="ListParagraph"/>
        <w:numPr>
          <w:ilvl w:val="0"/>
          <w:numId w:val="10"/>
        </w:numPr>
        <w:spacing w:after="80" w:line="260"/>
      </w:pPr>
      <w:r>
        <w:rPr>
          <w:rFonts w:ascii="Calibri" w:cs="Calibri" w:eastAsia="Calibri" w:hAnsi="Calibri"/>
          <w:sz w:val="21"/>
          <w:szCs w:val="21"/>
        </w:rPr>
        <w:t xml:space="preserve">Else if fit_score &gt;= STRONG_GO_THRESHOLD (3.5): return quality_tier = "strong_go", gate = True.</w:t>
      </w:r>
    </w:p>
    <w:p>
      <w:pPr>
        <w:pStyle w:val="ListParagraph"/>
        <w:numPr>
          <w:ilvl w:val="0"/>
          <w:numId w:val="10"/>
        </w:numPr>
        <w:spacing w:after="80" w:line="260"/>
      </w:pPr>
      <w:r>
        <w:rPr>
          <w:rFonts w:ascii="Calibri" w:cs="Calibri" w:eastAsia="Calibri" w:hAnsi="Calibri"/>
          <w:sz w:val="21"/>
          <w:szCs w:val="21"/>
        </w:rPr>
        <w:t xml:space="preserve">Else if fit_score &gt;= FIT_THRESHOLD (3.0): return quality_tier = "go_ic", gate = True.</w:t>
      </w:r>
    </w:p>
    <w:p>
      <w:pPr>
        <w:pStyle w:val="ListParagraph"/>
        <w:numPr>
          <w:ilvl w:val="0"/>
          <w:numId w:val="10"/>
        </w:numPr>
        <w:spacing w:after="80" w:line="260"/>
      </w:pPr>
      <w:r>
        <w:rPr>
          <w:rFonts w:ascii="Calibri" w:cs="Calibri" w:eastAsia="Calibri" w:hAnsi="Calibri"/>
          <w:sz w:val="21"/>
          <w:szCs w:val="21"/>
        </w:rPr>
        <w:t xml:space="preserve">Else if fit_score &gt;= MORE_DILIGENCE_THRESHOLD (2.5): return quality_tier = "more_diligence", gate = False.</w:t>
      </w:r>
    </w:p>
    <w:p>
      <w:pPr>
        <w:pStyle w:val="ListParagraph"/>
        <w:numPr>
          <w:ilvl w:val="0"/>
          <w:numId w:val="10"/>
        </w:numPr>
        <w:spacing w:after="80" w:line="260"/>
      </w:pPr>
      <w:r>
        <w:rPr>
          <w:rFonts w:ascii="Calibri" w:cs="Calibri" w:eastAsia="Calibri" w:hAnsi="Calibri"/>
          <w:sz w:val="21"/>
          <w:szCs w:val="21"/>
        </w:rPr>
        <w:t xml:space="preserve">Else: return quality_tier = "pass", gate = False.</w:t>
      </w:r>
    </w:p>
    <w:p>
      <w:pPr>
        <w:spacing w:after="140" w:line="276"/>
      </w:pPr>
      <w:r>
        <w:rPr>
          <w:rFonts w:ascii="Calibri" w:cs="Calibri" w:eastAsia="Calibri" w:hAnsi="Calibri"/>
          <w:sz w:val="21"/>
          <w:szCs w:val="21"/>
        </w:rPr>
        <w:t xml:space="preserve">gate is True only for strong_go and go_ic. That single boolean is what triggers Stage 2's deep research and memo synthesis; more_diligence, pass, watch_list, and error are all gate = False and stop at Stage 1.</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3900"/>
      </w:tblGrid>
      <w:tr>
        <w:trPr>
          <w:tblHeader/>
        </w:trPr>
        <w:tc>
          <w:tcPr>
            <w:tcW w:type="dxa" w:w="2400"/>
            <w:shd w:fill="E8E8E8" w:val="clear"/>
            <w:tcMar>
              <w:top w:type="dxa" w:w="60"/>
              <w:left w:type="dxa" w:w="100"/>
              <w:bottom w:type="dxa" w:w="60"/>
              <w:right w:type="dxa" w:w="100"/>
            </w:tcMar>
            <w:vAlign w:val="center"/>
          </w:tcPr>
          <w:p>
            <w:pPr>
              <w:jc w:val="left"/>
            </w:pPr>
            <w:r>
              <w:rPr>
                <w:rFonts w:ascii="Calibri" w:cs="Calibri" w:eastAsia="Calibri" w:hAnsi="Calibri"/>
                <w:b/>
                <w:bCs/>
                <w:color w:val="1A1A1A"/>
                <w:sz w:val="19"/>
                <w:szCs w:val="19"/>
              </w:rPr>
              <w:t xml:space="preserve">Threshold</w:t>
            </w:r>
          </w:p>
        </w:tc>
        <w:tc>
          <w:tcPr>
            <w:tcW w:type="dxa" w:w="2400"/>
            <w:shd w:fill="E8E8E8" w:val="clear"/>
            <w:tcMar>
              <w:top w:type="dxa" w:w="60"/>
              <w:left w:type="dxa" w:w="100"/>
              <w:bottom w:type="dxa" w:w="60"/>
              <w:right w:type="dxa" w:w="100"/>
            </w:tcMar>
            <w:vAlign w:val="center"/>
          </w:tcPr>
          <w:p>
            <w:pPr>
              <w:jc w:val="left"/>
            </w:pPr>
            <w:r>
              <w:rPr>
                <w:rFonts w:ascii="Calibri" w:cs="Calibri" w:eastAsia="Calibri" w:hAnsi="Calibri"/>
                <w:b/>
                <w:bCs/>
                <w:color w:val="1A1A1A"/>
                <w:sz w:val="19"/>
                <w:szCs w:val="19"/>
              </w:rPr>
              <w:t xml:space="preserve">Config value</w:t>
            </w:r>
          </w:p>
        </w:tc>
        <w:tc>
          <w:tcPr>
            <w:tcW w:type="dxa" w:w="3900"/>
            <w:shd w:fill="E8E8E8" w:val="clear"/>
            <w:tcMar>
              <w:top w:type="dxa" w:w="60"/>
              <w:left w:type="dxa" w:w="100"/>
              <w:bottom w:type="dxa" w:w="60"/>
              <w:right w:type="dxa" w:w="100"/>
            </w:tcMar>
            <w:vAlign w:val="center"/>
          </w:tcPr>
          <w:p>
            <w:pPr>
              <w:jc w:val="left"/>
            </w:pPr>
            <w:r>
              <w:rPr>
                <w:rFonts w:ascii="Calibri" w:cs="Calibri" w:eastAsia="Calibri" w:hAnsi="Calibri"/>
                <w:b/>
                <w:bCs/>
                <w:color w:val="1A1A1A"/>
                <w:sz w:val="19"/>
                <w:szCs w:val="19"/>
              </w:rPr>
              <w:t xml:space="preserve">Default</w:t>
            </w:r>
          </w:p>
        </w:tc>
      </w:tr>
      <w:tr>
        <w:tc>
          <w:tcPr>
            <w:tcW w:type="dxa" w:w="24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STRONG_GO_THRESHOLD</w:t>
            </w:r>
          </w:p>
        </w:tc>
        <w:tc>
          <w:tcPr>
            <w:tcW w:type="dxa" w:w="24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DI_STRONG_GO_THRESHOLD</w:t>
            </w:r>
          </w:p>
        </w:tc>
        <w:tc>
          <w:tcPr>
            <w:tcW w:type="dxa" w:w="39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3.5</w:t>
            </w:r>
          </w:p>
        </w:tc>
      </w:tr>
      <w:tr>
        <w:tc>
          <w:tcPr>
            <w:tcW w:type="dxa" w:w="2400"/>
            <w:shd w:fill="F4F4F4"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FIT_THRESHOLD</w:t>
            </w:r>
          </w:p>
        </w:tc>
        <w:tc>
          <w:tcPr>
            <w:tcW w:type="dxa" w:w="2400"/>
            <w:shd w:fill="F4F4F4"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DI_FIT_THRESHOLD</w:t>
            </w:r>
          </w:p>
        </w:tc>
        <w:tc>
          <w:tcPr>
            <w:tcW w:type="dxa" w:w="3900"/>
            <w:shd w:fill="F4F4F4"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3.0 (the deep-research gate)</w:t>
            </w:r>
          </w:p>
        </w:tc>
      </w:tr>
      <w:tr>
        <w:tc>
          <w:tcPr>
            <w:tcW w:type="dxa" w:w="24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MORE_DILIGENCE_THRESHOLD</w:t>
            </w:r>
          </w:p>
        </w:tc>
        <w:tc>
          <w:tcPr>
            <w:tcW w:type="dxa" w:w="24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DI_MORE_DILIGENCE_THRESHOLD</w:t>
            </w:r>
          </w:p>
        </w:tc>
        <w:tc>
          <w:tcPr>
            <w:tcW w:type="dxa" w:w="39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2.5</w:t>
            </w:r>
          </w:p>
        </w:tc>
      </w:tr>
    </w:tbl>
    <w:p>
      <w:pPr>
        <w:spacing w:after="140" w:line="276"/>
      </w:pPr>
      <w:r>
        <w:rPr>
          <w:rFonts w:ascii="Calibri" w:cs="Calibri" w:eastAsia="Calibri" w:hAnsi="Calibri"/>
          <w:sz w:val="21"/>
          <w:szCs w:val="21"/>
        </w:rPr>
        <w:t xml:space="preserve">These were renamed from VERY_HIGH_QUALITY_THRESHOLD and BORDERLINE_THRESHOLD when the rubric moved from four tiers to five in v2.1. If either old env var name is still set anywhere outside this repo, on Cloud Run or in n8n, it silently stops applying; only the current names take effect.</w:t>
      </w:r>
    </w:p>
    <w:p>
      <w:pPr>
        <w:pStyle w:val="Heading1"/>
        <w:pBdr>
          <w:bottom w:val="single" w:color="1A1A1A" w:sz="6" w:space="4"/>
        </w:pBdr>
        <w:spacing w:after="200" w:before="400"/>
      </w:pPr>
      <w:r>
        <w:rPr>
          <w:rFonts w:ascii="Calibri" w:cs="Calibri" w:eastAsia="Calibri" w:hAnsi="Calibri"/>
          <w:b/>
          <w:bCs/>
          <w:color w:val="1A1A1A"/>
          <w:sz w:val="30"/>
          <w:szCs w:val="30"/>
        </w:rPr>
        <w:t xml:space="preserve">11. Output Contract and Data Shape</w:t>
      </w:r>
    </w:p>
    <w:p>
      <w:pPr>
        <w:pStyle w:val="Heading2"/>
        <w:spacing w:after="120" w:before="300"/>
      </w:pPr>
      <w:r>
        <w:rPr>
          <w:rFonts w:ascii="Calibri" w:cs="Calibri" w:eastAsia="Calibri" w:hAnsi="Calibri"/>
          <w:b/>
          <w:bCs/>
          <w:color w:val="1A1A1A"/>
          <w:sz w:val="24"/>
          <w:szCs w:val="24"/>
        </w:rPr>
        <w:t xml:space="preserve">11.1 The JSON the model must return</w:t>
      </w:r>
    </w:p>
    <w:p>
      <w:pPr>
        <w:spacing w:after="140" w:line="276"/>
      </w:pPr>
      <w:r>
        <w:rPr>
          <w:rFonts w:ascii="Consolas" w:cs="Consolas" w:eastAsia="Consolas" w:hAnsi="Consolas"/>
          <w:sz w:val="20"/>
          <w:szCs w:val="20"/>
        </w:rPr>
        <w:t xml:space="preserve">{
  "params": [{
    "key": "&lt;param key&gt;",
    "score": 1,
    "subcategories": [{"label": "&lt;2-4 word tag&gt;", "finding": "&lt;=12 words&gt;"}],
    "evidence": "&lt;=25 words, one sentence"
  }],
  "rationale": "&lt;=40 words, two sentences",
  "confidence": "high | medium | low",
  "hard_auto_pass": true | false,
  "hard_auto_pass_reason": "&lt;quoted rubric condition, or empty string&gt;",
  "watch_list": true | false
}</w:t>
      </w:r>
    </w:p>
    <w:p>
      <w:pPr>
        <w:spacing w:after="140" w:line="276"/>
      </w:pPr>
      <w:r>
        <w:rPr>
          <w:rFonts w:ascii="Calibri" w:cs="Calibri" w:eastAsia="Calibri" w:hAnsi="Calibri"/>
          <w:sz w:val="21"/>
          <w:szCs w:val="21"/>
        </w:rPr>
        <w:t xml:space="preserve">terms is included in params with a real evidence-backed score, but always with an empty subcategories array, since it has no checklist in the rubric; its full finding goes in evidence instead.</w:t>
      </w:r>
    </w:p>
    <w:p>
      <w:pPr>
        <w:pStyle w:val="Heading2"/>
        <w:spacing w:after="120" w:before="300"/>
      </w:pPr>
      <w:r>
        <w:rPr>
          <w:rFonts w:ascii="Calibri" w:cs="Calibri" w:eastAsia="Calibri" w:hAnsi="Calibri"/>
          <w:b/>
          <w:bCs/>
          <w:color w:val="1A1A1A"/>
          <w:sz w:val="24"/>
          <w:szCs w:val="24"/>
        </w:rPr>
        <w:t xml:space="preserve">11.2 Parsing into ParamScore objects</w:t>
      </w:r>
    </w:p>
    <w:p>
      <w:pPr>
        <w:spacing w:after="140" w:line="276"/>
      </w:pPr>
      <w:r>
        <w:rPr>
          <w:rFonts w:ascii="Calibri" w:cs="Calibri" w:eastAsia="Calibri" w:hAnsi="Calibri"/>
          <w:sz w:val="21"/>
          <w:szCs w:val="21"/>
        </w:rPr>
        <w:t xml:space="preserve">score_deal() iterates parsed["params"]. Any item whose key is not one of the six recognized rubric keys is silently skipped, not treated as an error. Each score is coerced via float(item.get("score", 0) or 0). Each subcategory list is coerced into SubFinding(label, finding) objects, with str() coercion and empty-string defaults on both fields. The result is a ParamScore(key, score, weight, evidence, subcategories) per recognized dimension.</w:t>
      </w:r>
    </w:p>
    <w:p>
      <w:pPr>
        <w:pStyle w:val="Heading2"/>
        <w:spacing w:after="120" w:before="300"/>
      </w:pPr>
      <w:r>
        <w:rPr>
          <w:rFonts w:ascii="Calibri" w:cs="Calibri" w:eastAsia="Calibri" w:hAnsi="Calibri"/>
          <w:b/>
          <w:bCs/>
          <w:color w:val="1A1A1A"/>
          <w:sz w:val="24"/>
          <w:szCs w:val="24"/>
        </w:rPr>
        <w:t xml:space="preserve">11.3 The DealFit record</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600"/>
        <w:gridCol w:w="6300"/>
      </w:tblGrid>
      <w:tr>
        <w:trPr>
          <w:tblHeader/>
        </w:trPr>
        <w:tc>
          <w:tcPr>
            <w:tcW w:type="dxa" w:w="2600"/>
            <w:shd w:fill="E8E8E8" w:val="clear"/>
            <w:tcMar>
              <w:top w:type="dxa" w:w="60"/>
              <w:left w:type="dxa" w:w="100"/>
              <w:bottom w:type="dxa" w:w="60"/>
              <w:right w:type="dxa" w:w="100"/>
            </w:tcMar>
            <w:vAlign w:val="center"/>
          </w:tcPr>
          <w:p>
            <w:pPr>
              <w:jc w:val="left"/>
            </w:pPr>
            <w:r>
              <w:rPr>
                <w:rFonts w:ascii="Calibri" w:cs="Calibri" w:eastAsia="Calibri" w:hAnsi="Calibri"/>
                <w:b/>
                <w:bCs/>
                <w:color w:val="1A1A1A"/>
                <w:sz w:val="19"/>
                <w:szCs w:val="19"/>
              </w:rPr>
              <w:t xml:space="preserve">Field</w:t>
            </w:r>
          </w:p>
        </w:tc>
        <w:tc>
          <w:tcPr>
            <w:tcW w:type="dxa" w:w="6300"/>
            <w:shd w:fill="E8E8E8" w:val="clear"/>
            <w:tcMar>
              <w:top w:type="dxa" w:w="60"/>
              <w:left w:type="dxa" w:w="100"/>
              <w:bottom w:type="dxa" w:w="60"/>
              <w:right w:type="dxa" w:w="100"/>
            </w:tcMar>
            <w:vAlign w:val="center"/>
          </w:tcPr>
          <w:p>
            <w:pPr>
              <w:jc w:val="left"/>
            </w:pPr>
            <w:r>
              <w:rPr>
                <w:rFonts w:ascii="Calibri" w:cs="Calibri" w:eastAsia="Calibri" w:hAnsi="Calibri"/>
                <w:b/>
                <w:bCs/>
                <w:color w:val="1A1A1A"/>
                <w:sz w:val="19"/>
                <w:szCs w:val="19"/>
              </w:rPr>
              <w:t xml:space="preserve">Description</w:t>
            </w:r>
          </w:p>
        </w:tc>
      </w:tr>
      <w:tr>
        <w:tc>
          <w:tcPr>
            <w:tcW w:type="dxa" w:w="26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record_id, name</w:t>
            </w:r>
          </w:p>
        </w:tc>
        <w:tc>
          <w:tcPr>
            <w:tcW w:type="dxa" w:w="63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Carried through unchanged from the input DealInput.</w:t>
            </w:r>
          </w:p>
        </w:tc>
      </w:tr>
      <w:tr>
        <w:tc>
          <w:tcPr>
            <w:tcW w:type="dxa" w:w="2600"/>
            <w:shd w:fill="F4F4F4"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fit_score</w:t>
            </w:r>
          </w:p>
        </w:tc>
        <w:tc>
          <w:tcPr>
            <w:tcW w:type="dxa" w:w="6300"/>
            <w:shd w:fill="F4F4F4"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weighted_score() output. The number that drives the gate.</w:t>
            </w:r>
          </w:p>
        </w:tc>
      </w:tr>
      <w:tr>
        <w:tc>
          <w:tcPr>
            <w:tcW w:type="dxa" w:w="26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raw_score</w:t>
            </w:r>
          </w:p>
        </w:tc>
        <w:tc>
          <w:tcPr>
            <w:tcW w:type="dxa" w:w="63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raw_score() output. Unweighted mean of the same five dimensions; identical to fit_score at this rubric version, kept distinct for future reweighting.</w:t>
            </w:r>
          </w:p>
        </w:tc>
      </w:tr>
      <w:tr>
        <w:tc>
          <w:tcPr>
            <w:tcW w:type="dxa" w:w="2600"/>
            <w:shd w:fill="F4F4F4"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params</w:t>
            </w:r>
          </w:p>
        </w:tc>
        <w:tc>
          <w:tcPr>
            <w:tcW w:type="dxa" w:w="6300"/>
            <w:shd w:fill="F4F4F4"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list[ParamScore], one entry per recognized rubric dimension, six total including Terms.</w:t>
            </w:r>
          </w:p>
        </w:tc>
      </w:tr>
      <w:tr>
        <w:tc>
          <w:tcPr>
            <w:tcW w:type="dxa" w:w="26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rationale</w:t>
            </w:r>
          </w:p>
        </w:tc>
        <w:tc>
          <w:tcPr>
            <w:tcW w:type="dxa" w:w="63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The deal-level, 40-word-capped synthesis (Section 6, Tier 3).</w:t>
            </w:r>
          </w:p>
        </w:tc>
      </w:tr>
      <w:tr>
        <w:tc>
          <w:tcPr>
            <w:tcW w:type="dxa" w:w="2600"/>
            <w:shd w:fill="F4F4F4"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confidence</w:t>
            </w:r>
          </w:p>
        </w:tc>
        <w:tc>
          <w:tcPr>
            <w:tcW w:type="dxa" w:w="6300"/>
            <w:shd w:fill="F4F4F4"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"high" | "medium" | "low", Diligence Confidence (Section 7.3).</w:t>
            </w:r>
          </w:p>
        </w:tc>
      </w:tr>
      <w:tr>
        <w:tc>
          <w:tcPr>
            <w:tcW w:type="dxa" w:w="26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gate</w:t>
            </w:r>
          </w:p>
        </w:tc>
        <w:tc>
          <w:tcPr>
            <w:tcW w:type="dxa" w:w="63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Boolean. True only for strong_go and go_ic tiers; this is what triggers Stage 2.</w:t>
            </w:r>
          </w:p>
        </w:tc>
      </w:tr>
      <w:tr>
        <w:tc>
          <w:tcPr>
            <w:tcW w:type="dxa" w:w="2600"/>
            <w:shd w:fill="F4F4F4"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quality_tier</w:t>
            </w:r>
          </w:p>
        </w:tc>
        <w:tc>
          <w:tcPr>
            <w:tcW w:type="dxa" w:w="6300"/>
            <w:shd w:fill="F4F4F4"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"strong_go" | "go_ic" | "more_diligence" | "pass" | "watch_list" | "error".</w:t>
            </w:r>
          </w:p>
        </w:tc>
      </w:tr>
      <w:tr>
        <w:tc>
          <w:tcPr>
            <w:tcW w:type="dxa" w:w="26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citations</w:t>
            </w:r>
          </w:p>
        </w:tc>
        <w:tc>
          <w:tcPr>
            <w:tcW w:type="dxa" w:w="63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Source URLs Perplexity grounded its answer on, taken directly off the API response. Index 0 corresponds to citation marker [1] in the model's own text.</w:t>
            </w:r>
          </w:p>
        </w:tc>
      </w:tr>
      <w:tr>
        <w:tc>
          <w:tcPr>
            <w:tcW w:type="dxa" w:w="2600"/>
            <w:shd w:fill="F4F4F4"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hard_auto_pass, hard_auto_pass_reason</w:t>
            </w:r>
          </w:p>
        </w:tc>
        <w:tc>
          <w:tcPr>
            <w:tcW w:type="dxa" w:w="6300"/>
            <w:shd w:fill="F4F4F4"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The model-reported disqualification flag and its stated reason; reason is empty when the flag is false.</w:t>
            </w:r>
          </w:p>
        </w:tc>
      </w:tr>
    </w:tbl>
    <w:p>
      <w:pPr>
        <w:pStyle w:val="Heading1"/>
        <w:pBdr>
          <w:bottom w:val="single" w:color="1A1A1A" w:sz="6" w:space="4"/>
        </w:pBdr>
        <w:spacing w:after="200" w:before="400"/>
      </w:pPr>
      <w:r>
        <w:rPr>
          <w:rFonts w:ascii="Calibri" w:cs="Calibri" w:eastAsia="Calibri" w:hAnsi="Calibri"/>
          <w:b/>
          <w:bCs/>
          <w:color w:val="1A1A1A"/>
          <w:sz w:val="30"/>
          <w:szCs w:val="30"/>
        </w:rPr>
        <w:t xml:space="preserve">Appendix: Pipeline Calibration Reference</w:t>
      </w:r>
    </w:p>
    <w:p>
      <w:pPr>
        <w:spacing w:after="140" w:line="276"/>
      </w:pPr>
      <w:r>
        <w:rPr>
          <w:rFonts w:ascii="Calibri" w:cs="Calibri" w:eastAsia="Calibri" w:hAnsi="Calibri"/>
          <w:sz w:val="21"/>
          <w:szCs w:val="21"/>
        </w:rPr>
        <w:t xml:space="preserve">Real ID8 deal history, carried in prompts/rubric.md for the model's own calibration, not backfilled for pre-v2.1 deals (shown as a dash where absent). Polymarket's Lead / Round Dynamics score is 3*, the Domain-Strategic path (NYSE/ICE lead). The Weighted Avg column is carried over unchanged from the prior rubric versions that originally scored these deals, v2.1's 20/20/20/20/15/5 weighting, itself carried over from an earlier five-dimension equal-weight rubric (Lead/Round Dynamics, AI, Fundamentals, Return, Terms, all at 20%) before Founder/Team Quality existed as a dimension. v3.1's 20/20/20/20/20/gate-only math returns to that same five-way-equal shape, with Founder/Team Quality now occupying the fifth slot Terms once held, and Terms demoted to gate-only. These historical per-dimension scores are for calibrating judgment only; v3.1's math is not expected to reproduce these exact historical averages if the same deals were rescored today.</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700"/>
        <w:gridCol w:w="700"/>
        <w:gridCol w:w="700"/>
        <w:gridCol w:w="900"/>
        <w:gridCol w:w="900"/>
        <w:gridCol w:w="900"/>
        <w:gridCol w:w="1200"/>
        <w:gridCol w:w="900"/>
      </w:tblGrid>
      <w:tr>
        <w:trPr>
          <w:tblHeader/>
        </w:trPr>
        <w:tc>
          <w:tcPr>
            <w:tcW w:type="dxa" w:w="1900"/>
            <w:shd w:fill="E8E8E8" w:val="clear"/>
            <w:tcMar>
              <w:top w:type="dxa" w:w="60"/>
              <w:left w:type="dxa" w:w="100"/>
              <w:bottom w:type="dxa" w:w="60"/>
              <w:right w:type="dxa" w:w="100"/>
            </w:tcMar>
            <w:vAlign w:val="center"/>
          </w:tcPr>
          <w:p>
            <w:pPr>
              <w:jc w:val="left"/>
            </w:pPr>
            <w:r>
              <w:rPr>
                <w:rFonts w:ascii="Calibri" w:cs="Calibri" w:eastAsia="Calibri" w:hAnsi="Calibri"/>
                <w:b/>
                <w:bCs/>
                <w:color w:val="1A1A1A"/>
                <w:sz w:val="19"/>
                <w:szCs w:val="19"/>
              </w:rPr>
              <w:t xml:space="preserve">Company</w:t>
            </w:r>
          </w:p>
        </w:tc>
        <w:tc>
          <w:tcPr>
            <w:tcW w:type="dxa" w:w="1500"/>
            <w:shd w:fill="E8E8E8" w:val="clear"/>
            <w:tcMar>
              <w:top w:type="dxa" w:w="60"/>
              <w:left w:type="dxa" w:w="100"/>
              <w:bottom w:type="dxa" w:w="60"/>
              <w:right w:type="dxa" w:w="100"/>
            </w:tcMar>
            <w:vAlign w:val="center"/>
          </w:tcPr>
          <w:p>
            <w:pPr>
              <w:jc w:val="left"/>
            </w:pPr>
            <w:r>
              <w:rPr>
                <w:rFonts w:ascii="Calibri" w:cs="Calibri" w:eastAsia="Calibri" w:hAnsi="Calibri"/>
                <w:b/>
                <w:bCs/>
                <w:color w:val="1A1A1A"/>
                <w:sz w:val="19"/>
                <w:szCs w:val="19"/>
              </w:rPr>
              <w:t xml:space="preserve">Status</w:t>
            </w:r>
          </w:p>
        </w:tc>
        <w:tc>
          <w:tcPr>
            <w:tcW w:type="dxa" w:w="700"/>
            <w:shd w:fill="E8E8E8" w:val="clear"/>
            <w:tcMar>
              <w:top w:type="dxa" w:w="60"/>
              <w:left w:type="dxa" w:w="100"/>
              <w:bottom w:type="dxa" w:w="60"/>
              <w:right w:type="dxa" w:w="100"/>
            </w:tcMar>
            <w:vAlign w:val="center"/>
          </w:tcPr>
          <w:p>
            <w:pPr>
              <w:jc w:val="left"/>
            </w:pPr>
            <w:r>
              <w:rPr>
                <w:rFonts w:ascii="Calibri" w:cs="Calibri" w:eastAsia="Calibri" w:hAnsi="Calibri"/>
                <w:b/>
                <w:bCs/>
                <w:color w:val="1A1A1A"/>
                <w:sz w:val="19"/>
                <w:szCs w:val="19"/>
              </w:rPr>
              <w:t xml:space="preserve">LD</w:t>
            </w:r>
          </w:p>
        </w:tc>
        <w:tc>
          <w:tcPr>
            <w:tcW w:type="dxa" w:w="700"/>
            <w:shd w:fill="E8E8E8" w:val="clear"/>
            <w:tcMar>
              <w:top w:type="dxa" w:w="60"/>
              <w:left w:type="dxa" w:w="100"/>
              <w:bottom w:type="dxa" w:w="60"/>
              <w:right w:type="dxa" w:w="100"/>
            </w:tcMar>
            <w:vAlign w:val="center"/>
          </w:tcPr>
          <w:p>
            <w:pPr>
              <w:jc w:val="left"/>
            </w:pPr>
            <w:r>
              <w:rPr>
                <w:rFonts w:ascii="Calibri" w:cs="Calibri" w:eastAsia="Calibri" w:hAnsi="Calibri"/>
                <w:b/>
                <w:bCs/>
                <w:color w:val="1A1A1A"/>
                <w:sz w:val="19"/>
                <w:szCs w:val="19"/>
              </w:rPr>
              <w:t xml:space="preserve">AI</w:t>
            </w:r>
          </w:p>
        </w:tc>
        <w:tc>
          <w:tcPr>
            <w:tcW w:type="dxa" w:w="700"/>
            <w:shd w:fill="E8E8E8" w:val="clear"/>
            <w:tcMar>
              <w:top w:type="dxa" w:w="60"/>
              <w:left w:type="dxa" w:w="100"/>
              <w:bottom w:type="dxa" w:w="60"/>
              <w:right w:type="dxa" w:w="100"/>
            </w:tcMar>
            <w:vAlign w:val="center"/>
          </w:tcPr>
          <w:p>
            <w:pPr>
              <w:jc w:val="left"/>
            </w:pPr>
            <w:r>
              <w:rPr>
                <w:rFonts w:ascii="Calibri" w:cs="Calibri" w:eastAsia="Calibri" w:hAnsi="Calibri"/>
                <w:b/>
                <w:bCs/>
                <w:color w:val="1A1A1A"/>
                <w:sz w:val="19"/>
                <w:szCs w:val="19"/>
              </w:rPr>
              <w:t xml:space="preserve">FTQ</w:t>
            </w:r>
          </w:p>
        </w:tc>
        <w:tc>
          <w:tcPr>
            <w:tcW w:type="dxa" w:w="900"/>
            <w:shd w:fill="E8E8E8" w:val="clear"/>
            <w:tcMar>
              <w:top w:type="dxa" w:w="60"/>
              <w:left w:type="dxa" w:w="100"/>
              <w:bottom w:type="dxa" w:w="60"/>
              <w:right w:type="dxa" w:w="100"/>
            </w:tcMar>
            <w:vAlign w:val="center"/>
          </w:tcPr>
          <w:p>
            <w:pPr>
              <w:jc w:val="left"/>
            </w:pPr>
            <w:r>
              <w:rPr>
                <w:rFonts w:ascii="Calibri" w:cs="Calibri" w:eastAsia="Calibri" w:hAnsi="Calibri"/>
                <w:b/>
                <w:bCs/>
                <w:color w:val="1A1A1A"/>
                <w:sz w:val="19"/>
                <w:szCs w:val="19"/>
              </w:rPr>
              <w:t xml:space="preserve">Fund.</w:t>
            </w:r>
          </w:p>
        </w:tc>
        <w:tc>
          <w:tcPr>
            <w:tcW w:type="dxa" w:w="900"/>
            <w:shd w:fill="E8E8E8" w:val="clear"/>
            <w:tcMar>
              <w:top w:type="dxa" w:w="60"/>
              <w:left w:type="dxa" w:w="100"/>
              <w:bottom w:type="dxa" w:w="60"/>
              <w:right w:type="dxa" w:w="100"/>
            </w:tcMar>
            <w:vAlign w:val="center"/>
          </w:tcPr>
          <w:p>
            <w:pPr>
              <w:jc w:val="left"/>
            </w:pPr>
            <w:r>
              <w:rPr>
                <w:rFonts w:ascii="Calibri" w:cs="Calibri" w:eastAsia="Calibri" w:hAnsi="Calibri"/>
                <w:b/>
                <w:bCs/>
                <w:color w:val="1A1A1A"/>
                <w:sz w:val="19"/>
                <w:szCs w:val="19"/>
              </w:rPr>
              <w:t xml:space="preserve">Ret.</w:t>
            </w:r>
          </w:p>
        </w:tc>
        <w:tc>
          <w:tcPr>
            <w:tcW w:type="dxa" w:w="900"/>
            <w:shd w:fill="E8E8E8" w:val="clear"/>
            <w:tcMar>
              <w:top w:type="dxa" w:w="60"/>
              <w:left w:type="dxa" w:w="100"/>
              <w:bottom w:type="dxa" w:w="60"/>
              <w:right w:type="dxa" w:w="100"/>
            </w:tcMar>
            <w:vAlign w:val="center"/>
          </w:tcPr>
          <w:p>
            <w:pPr>
              <w:jc w:val="left"/>
            </w:pPr>
            <w:r>
              <w:rPr>
                <w:rFonts w:ascii="Calibri" w:cs="Calibri" w:eastAsia="Calibri" w:hAnsi="Calibri"/>
                <w:b/>
                <w:bCs/>
                <w:color w:val="1A1A1A"/>
                <w:sz w:val="19"/>
                <w:szCs w:val="19"/>
              </w:rPr>
              <w:t xml:space="preserve">Terms</w:t>
            </w:r>
          </w:p>
        </w:tc>
        <w:tc>
          <w:tcPr>
            <w:tcW w:type="dxa" w:w="1200"/>
            <w:shd w:fill="E8E8E8" w:val="clear"/>
            <w:tcMar>
              <w:top w:type="dxa" w:w="60"/>
              <w:left w:type="dxa" w:w="100"/>
              <w:bottom w:type="dxa" w:w="60"/>
              <w:right w:type="dxa" w:w="100"/>
            </w:tcMar>
            <w:vAlign w:val="center"/>
          </w:tcPr>
          <w:p>
            <w:pPr>
              <w:jc w:val="left"/>
            </w:pPr>
            <w:r>
              <w:rPr>
                <w:rFonts w:ascii="Calibri" w:cs="Calibri" w:eastAsia="Calibri" w:hAnsi="Calibri"/>
                <w:b/>
                <w:bCs/>
                <w:color w:val="1A1A1A"/>
                <w:sz w:val="19"/>
                <w:szCs w:val="19"/>
              </w:rPr>
              <w:t xml:space="preserve">Wtd Avg</w:t>
            </w:r>
          </w:p>
        </w:tc>
        <w:tc>
          <w:tcPr>
            <w:tcW w:type="dxa" w:w="900"/>
            <w:shd w:fill="E8E8E8" w:val="clear"/>
            <w:tcMar>
              <w:top w:type="dxa" w:w="60"/>
              <w:left w:type="dxa" w:w="100"/>
              <w:bottom w:type="dxa" w:w="60"/>
              <w:right w:type="dxa" w:w="100"/>
            </w:tcMar>
            <w:vAlign w:val="center"/>
          </w:tcPr>
          <w:p>
            <w:pPr>
              <w:jc w:val="left"/>
            </w:pPr>
            <w:r>
              <w:rPr>
                <w:rFonts w:ascii="Calibri" w:cs="Calibri" w:eastAsia="Calibri" w:hAnsi="Calibri"/>
                <w:b/>
                <w:bCs/>
                <w:color w:val="1A1A1A"/>
                <w:sz w:val="19"/>
                <w:szCs w:val="19"/>
              </w:rPr>
              <w:t xml:space="preserve">Stage</w:t>
            </w:r>
          </w:p>
        </w:tc>
      </w:tr>
      <w:tr>
        <w:tc>
          <w:tcPr>
            <w:tcW w:type="dxa" w:w="19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Saronic</w:t>
            </w:r>
          </w:p>
        </w:tc>
        <w:tc>
          <w:tcPr>
            <w:tcW w:type="dxa" w:w="15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Invested</w:t>
            </w:r>
          </w:p>
        </w:tc>
        <w:tc>
          <w:tcPr>
            <w:tcW w:type="dxa" w:w="7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4</w:t>
            </w:r>
          </w:p>
        </w:tc>
        <w:tc>
          <w:tcPr>
            <w:tcW w:type="dxa" w:w="7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4</w:t>
            </w:r>
          </w:p>
        </w:tc>
        <w:tc>
          <w:tcPr>
            <w:tcW w:type="dxa" w:w="7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4</w:t>
            </w:r>
          </w:p>
        </w:tc>
        <w:tc>
          <w:tcPr>
            <w:tcW w:type="dxa" w:w="9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4</w:t>
            </w:r>
          </w:p>
        </w:tc>
        <w:tc>
          <w:tcPr>
            <w:tcW w:type="dxa" w:w="9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4</w:t>
            </w:r>
          </w:p>
        </w:tc>
        <w:tc>
          <w:tcPr>
            <w:tcW w:type="dxa" w:w="9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3</w:t>
            </w:r>
          </w:p>
        </w:tc>
        <w:tc>
          <w:tcPr>
            <w:tcW w:type="dxa" w:w="12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3.8</w:t>
            </w:r>
          </w:p>
        </w:tc>
        <w:tc>
          <w:tcPr>
            <w:tcW w:type="dxa" w:w="9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D</w:t>
            </w:r>
          </w:p>
        </w:tc>
      </w:tr>
      <w:tr>
        <w:tc>
          <w:tcPr>
            <w:tcW w:type="dxa" w:w="1900"/>
            <w:shd w:fill="F4F4F4"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Micro1</w:t>
            </w:r>
          </w:p>
        </w:tc>
        <w:tc>
          <w:tcPr>
            <w:tcW w:type="dxa" w:w="1500"/>
            <w:shd w:fill="F4F4F4"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Active</w:t>
            </w:r>
          </w:p>
        </w:tc>
        <w:tc>
          <w:tcPr>
            <w:tcW w:type="dxa" w:w="700"/>
            <w:shd w:fill="F4F4F4"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4</w:t>
            </w:r>
          </w:p>
        </w:tc>
        <w:tc>
          <w:tcPr>
            <w:tcW w:type="dxa" w:w="700"/>
            <w:shd w:fill="F4F4F4"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4</w:t>
            </w:r>
          </w:p>
        </w:tc>
        <w:tc>
          <w:tcPr>
            <w:tcW w:type="dxa" w:w="700"/>
            <w:shd w:fill="F4F4F4"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w:t>
            </w:r>
          </w:p>
        </w:tc>
        <w:tc>
          <w:tcPr>
            <w:tcW w:type="dxa" w:w="900"/>
            <w:shd w:fill="F4F4F4"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4</w:t>
            </w:r>
          </w:p>
        </w:tc>
        <w:tc>
          <w:tcPr>
            <w:tcW w:type="dxa" w:w="900"/>
            <w:shd w:fill="F4F4F4"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4</w:t>
            </w:r>
          </w:p>
        </w:tc>
        <w:tc>
          <w:tcPr>
            <w:tcW w:type="dxa" w:w="900"/>
            <w:shd w:fill="F4F4F4"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3</w:t>
            </w:r>
          </w:p>
        </w:tc>
        <w:tc>
          <w:tcPr>
            <w:tcW w:type="dxa" w:w="1200"/>
            <w:shd w:fill="F4F4F4"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3.8</w:t>
            </w:r>
          </w:p>
        </w:tc>
        <w:tc>
          <w:tcPr>
            <w:tcW w:type="dxa" w:w="900"/>
            <w:shd w:fill="F4F4F4"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B</w:t>
            </w:r>
          </w:p>
        </w:tc>
      </w:tr>
      <w:tr>
        <w:tc>
          <w:tcPr>
            <w:tcW w:type="dxa" w:w="19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PermitFlow</w:t>
            </w:r>
          </w:p>
        </w:tc>
        <w:tc>
          <w:tcPr>
            <w:tcW w:type="dxa" w:w="15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Timing</w:t>
            </w:r>
          </w:p>
        </w:tc>
        <w:tc>
          <w:tcPr>
            <w:tcW w:type="dxa" w:w="7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4</w:t>
            </w:r>
          </w:p>
        </w:tc>
        <w:tc>
          <w:tcPr>
            <w:tcW w:type="dxa" w:w="7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4</w:t>
            </w:r>
          </w:p>
        </w:tc>
        <w:tc>
          <w:tcPr>
            <w:tcW w:type="dxa" w:w="7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w:t>
            </w:r>
          </w:p>
        </w:tc>
        <w:tc>
          <w:tcPr>
            <w:tcW w:type="dxa" w:w="9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4</w:t>
            </w:r>
          </w:p>
        </w:tc>
        <w:tc>
          <w:tcPr>
            <w:tcW w:type="dxa" w:w="9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3</w:t>
            </w:r>
          </w:p>
        </w:tc>
        <w:tc>
          <w:tcPr>
            <w:tcW w:type="dxa" w:w="9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3</w:t>
            </w:r>
          </w:p>
        </w:tc>
        <w:tc>
          <w:tcPr>
            <w:tcW w:type="dxa" w:w="12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3.7</w:t>
            </w:r>
          </w:p>
        </w:tc>
        <w:tc>
          <w:tcPr>
            <w:tcW w:type="dxa" w:w="9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B</w:t>
            </w:r>
          </w:p>
        </w:tc>
      </w:tr>
      <w:tr>
        <w:tc>
          <w:tcPr>
            <w:tcW w:type="dxa" w:w="1900"/>
            <w:shd w:fill="F4F4F4"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ElevenLabs</w:t>
            </w:r>
          </w:p>
        </w:tc>
        <w:tc>
          <w:tcPr>
            <w:tcW w:type="dxa" w:w="1500"/>
            <w:shd w:fill="F4F4F4"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Active</w:t>
            </w:r>
          </w:p>
        </w:tc>
        <w:tc>
          <w:tcPr>
            <w:tcW w:type="dxa" w:w="700"/>
            <w:shd w:fill="F4F4F4"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3</w:t>
            </w:r>
          </w:p>
        </w:tc>
        <w:tc>
          <w:tcPr>
            <w:tcW w:type="dxa" w:w="700"/>
            <w:shd w:fill="F4F4F4"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4</w:t>
            </w:r>
          </w:p>
        </w:tc>
        <w:tc>
          <w:tcPr>
            <w:tcW w:type="dxa" w:w="700"/>
            <w:shd w:fill="F4F4F4"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w:t>
            </w:r>
          </w:p>
        </w:tc>
        <w:tc>
          <w:tcPr>
            <w:tcW w:type="dxa" w:w="900"/>
            <w:shd w:fill="F4F4F4"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4</w:t>
            </w:r>
          </w:p>
        </w:tc>
        <w:tc>
          <w:tcPr>
            <w:tcW w:type="dxa" w:w="900"/>
            <w:shd w:fill="F4F4F4"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4</w:t>
            </w:r>
          </w:p>
        </w:tc>
        <w:tc>
          <w:tcPr>
            <w:tcW w:type="dxa" w:w="900"/>
            <w:shd w:fill="F4F4F4"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2</w:t>
            </w:r>
          </w:p>
        </w:tc>
        <w:tc>
          <w:tcPr>
            <w:tcW w:type="dxa" w:w="1200"/>
            <w:shd w:fill="F4F4F4"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3.4</w:t>
            </w:r>
          </w:p>
        </w:tc>
        <w:tc>
          <w:tcPr>
            <w:tcW w:type="dxa" w:w="900"/>
            <w:shd w:fill="F4F4F4"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C</w:t>
            </w:r>
          </w:p>
        </w:tc>
      </w:tr>
      <w:tr>
        <w:tc>
          <w:tcPr>
            <w:tcW w:type="dxa" w:w="19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Deepgram</w:t>
            </w:r>
          </w:p>
        </w:tc>
        <w:tc>
          <w:tcPr>
            <w:tcW w:type="dxa" w:w="15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Active</w:t>
            </w:r>
          </w:p>
        </w:tc>
        <w:tc>
          <w:tcPr>
            <w:tcW w:type="dxa" w:w="7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3</w:t>
            </w:r>
          </w:p>
        </w:tc>
        <w:tc>
          <w:tcPr>
            <w:tcW w:type="dxa" w:w="7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4</w:t>
            </w:r>
          </w:p>
        </w:tc>
        <w:tc>
          <w:tcPr>
            <w:tcW w:type="dxa" w:w="7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w:t>
            </w:r>
          </w:p>
        </w:tc>
        <w:tc>
          <w:tcPr>
            <w:tcW w:type="dxa" w:w="9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4</w:t>
            </w:r>
          </w:p>
        </w:tc>
        <w:tc>
          <w:tcPr>
            <w:tcW w:type="dxa" w:w="9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4</w:t>
            </w:r>
          </w:p>
        </w:tc>
        <w:tc>
          <w:tcPr>
            <w:tcW w:type="dxa" w:w="9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2</w:t>
            </w:r>
          </w:p>
        </w:tc>
        <w:tc>
          <w:tcPr>
            <w:tcW w:type="dxa" w:w="12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3.4</w:t>
            </w:r>
          </w:p>
        </w:tc>
        <w:tc>
          <w:tcPr>
            <w:tcW w:type="dxa" w:w="9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C</w:t>
            </w:r>
          </w:p>
        </w:tc>
      </w:tr>
      <w:tr>
        <w:tc>
          <w:tcPr>
            <w:tcW w:type="dxa" w:w="1900"/>
            <w:shd w:fill="F4F4F4"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Polymarket</w:t>
            </w:r>
          </w:p>
        </w:tc>
        <w:tc>
          <w:tcPr>
            <w:tcW w:type="dxa" w:w="1500"/>
            <w:shd w:fill="F4F4F4"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Invested</w:t>
            </w:r>
          </w:p>
        </w:tc>
        <w:tc>
          <w:tcPr>
            <w:tcW w:type="dxa" w:w="700"/>
            <w:shd w:fill="F4F4F4"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3*</w:t>
            </w:r>
          </w:p>
        </w:tc>
        <w:tc>
          <w:tcPr>
            <w:tcW w:type="dxa" w:w="700"/>
            <w:shd w:fill="F4F4F4"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4</w:t>
            </w:r>
          </w:p>
        </w:tc>
        <w:tc>
          <w:tcPr>
            <w:tcW w:type="dxa" w:w="700"/>
            <w:shd w:fill="F4F4F4"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4</w:t>
            </w:r>
          </w:p>
        </w:tc>
        <w:tc>
          <w:tcPr>
            <w:tcW w:type="dxa" w:w="900"/>
            <w:shd w:fill="F4F4F4"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3</w:t>
            </w:r>
          </w:p>
        </w:tc>
        <w:tc>
          <w:tcPr>
            <w:tcW w:type="dxa" w:w="900"/>
            <w:shd w:fill="F4F4F4"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4</w:t>
            </w:r>
          </w:p>
        </w:tc>
        <w:tc>
          <w:tcPr>
            <w:tcW w:type="dxa" w:w="900"/>
            <w:shd w:fill="F4F4F4"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2</w:t>
            </w:r>
          </w:p>
        </w:tc>
        <w:tc>
          <w:tcPr>
            <w:tcW w:type="dxa" w:w="1200"/>
            <w:shd w:fill="F4F4F4"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3.3</w:t>
            </w:r>
          </w:p>
        </w:tc>
        <w:tc>
          <w:tcPr>
            <w:tcW w:type="dxa" w:w="900"/>
            <w:shd w:fill="F4F4F4"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C</w:t>
            </w:r>
          </w:p>
        </w:tc>
      </w:tr>
      <w:tr>
        <w:tc>
          <w:tcPr>
            <w:tcW w:type="dxa" w:w="19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Kalshi</w:t>
            </w:r>
          </w:p>
        </w:tc>
        <w:tc>
          <w:tcPr>
            <w:tcW w:type="dxa" w:w="15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Active</w:t>
            </w:r>
          </w:p>
        </w:tc>
        <w:tc>
          <w:tcPr>
            <w:tcW w:type="dxa" w:w="7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2</w:t>
            </w:r>
          </w:p>
        </w:tc>
        <w:tc>
          <w:tcPr>
            <w:tcW w:type="dxa" w:w="7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2</w:t>
            </w:r>
          </w:p>
        </w:tc>
        <w:tc>
          <w:tcPr>
            <w:tcW w:type="dxa" w:w="7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w:t>
            </w:r>
          </w:p>
        </w:tc>
        <w:tc>
          <w:tcPr>
            <w:tcW w:type="dxa" w:w="9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4</w:t>
            </w:r>
          </w:p>
        </w:tc>
        <w:tc>
          <w:tcPr>
            <w:tcW w:type="dxa" w:w="9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3</w:t>
            </w:r>
          </w:p>
        </w:tc>
        <w:tc>
          <w:tcPr>
            <w:tcW w:type="dxa" w:w="9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2</w:t>
            </w:r>
          </w:p>
        </w:tc>
        <w:tc>
          <w:tcPr>
            <w:tcW w:type="dxa" w:w="12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2.6</w:t>
            </w:r>
          </w:p>
        </w:tc>
        <w:tc>
          <w:tcPr>
            <w:tcW w:type="dxa" w:w="9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B</w:t>
            </w:r>
          </w:p>
        </w:tc>
      </w:tr>
      <w:tr>
        <w:tc>
          <w:tcPr>
            <w:tcW w:type="dxa" w:w="1900"/>
            <w:shd w:fill="F4F4F4"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Airwallex</w:t>
            </w:r>
          </w:p>
        </w:tc>
        <w:tc>
          <w:tcPr>
            <w:tcW w:type="dxa" w:w="1500"/>
            <w:shd w:fill="F4F4F4"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Passed</w:t>
            </w:r>
          </w:p>
        </w:tc>
        <w:tc>
          <w:tcPr>
            <w:tcW w:type="dxa" w:w="700"/>
            <w:shd w:fill="F4F4F4"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4</w:t>
            </w:r>
          </w:p>
        </w:tc>
        <w:tc>
          <w:tcPr>
            <w:tcW w:type="dxa" w:w="700"/>
            <w:shd w:fill="F4F4F4"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2.5</w:t>
            </w:r>
          </w:p>
        </w:tc>
        <w:tc>
          <w:tcPr>
            <w:tcW w:type="dxa" w:w="700"/>
            <w:shd w:fill="F4F4F4"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w:t>
            </w:r>
          </w:p>
        </w:tc>
        <w:tc>
          <w:tcPr>
            <w:tcW w:type="dxa" w:w="900"/>
            <w:shd w:fill="F4F4F4"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4</w:t>
            </w:r>
          </w:p>
        </w:tc>
        <w:tc>
          <w:tcPr>
            <w:tcW w:type="dxa" w:w="900"/>
            <w:shd w:fill="F4F4F4"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3</w:t>
            </w:r>
          </w:p>
        </w:tc>
        <w:tc>
          <w:tcPr>
            <w:tcW w:type="dxa" w:w="900"/>
            <w:shd w:fill="F4F4F4"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0</w:t>
            </w:r>
          </w:p>
        </w:tc>
        <w:tc>
          <w:tcPr>
            <w:tcW w:type="dxa" w:w="1200"/>
            <w:shd w:fill="F4F4F4"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2.9</w:t>
            </w:r>
          </w:p>
        </w:tc>
        <w:tc>
          <w:tcPr>
            <w:tcW w:type="dxa" w:w="900"/>
            <w:shd w:fill="F4F4F4"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D</w:t>
            </w:r>
          </w:p>
        </w:tc>
      </w:tr>
      <w:tr>
        <w:tc>
          <w:tcPr>
            <w:tcW w:type="dxa" w:w="19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Mind Robotics</w:t>
            </w:r>
          </w:p>
        </w:tc>
        <w:tc>
          <w:tcPr>
            <w:tcW w:type="dxa" w:w="15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Watch List</w:t>
            </w:r>
          </w:p>
        </w:tc>
        <w:tc>
          <w:tcPr>
            <w:tcW w:type="dxa" w:w="7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2</w:t>
            </w:r>
          </w:p>
        </w:tc>
        <w:tc>
          <w:tcPr>
            <w:tcW w:type="dxa" w:w="7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4</w:t>
            </w:r>
          </w:p>
        </w:tc>
        <w:tc>
          <w:tcPr>
            <w:tcW w:type="dxa" w:w="7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w:t>
            </w:r>
          </w:p>
        </w:tc>
        <w:tc>
          <w:tcPr>
            <w:tcW w:type="dxa" w:w="9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2</w:t>
            </w:r>
          </w:p>
        </w:tc>
        <w:tc>
          <w:tcPr>
            <w:tcW w:type="dxa" w:w="9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3</w:t>
            </w:r>
          </w:p>
        </w:tc>
        <w:tc>
          <w:tcPr>
            <w:tcW w:type="dxa" w:w="9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2</w:t>
            </w:r>
          </w:p>
        </w:tc>
        <w:tc>
          <w:tcPr>
            <w:tcW w:type="dxa" w:w="12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2.7</w:t>
            </w:r>
          </w:p>
        </w:tc>
        <w:tc>
          <w:tcPr>
            <w:tcW w:type="dxa" w:w="9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A</w:t>
            </w:r>
          </w:p>
        </w:tc>
      </w:tr>
      <w:tr>
        <w:tc>
          <w:tcPr>
            <w:tcW w:type="dxa" w:w="1900"/>
            <w:shd w:fill="F4F4F4"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Hayden AI</w:t>
            </w:r>
          </w:p>
        </w:tc>
        <w:tc>
          <w:tcPr>
            <w:tcW w:type="dxa" w:w="1500"/>
            <w:shd w:fill="F4F4F4"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Passed</w:t>
            </w:r>
          </w:p>
        </w:tc>
        <w:tc>
          <w:tcPr>
            <w:tcW w:type="dxa" w:w="700"/>
            <w:shd w:fill="F4F4F4"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1</w:t>
            </w:r>
          </w:p>
        </w:tc>
        <w:tc>
          <w:tcPr>
            <w:tcW w:type="dxa" w:w="700"/>
            <w:shd w:fill="F4F4F4"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4</w:t>
            </w:r>
          </w:p>
        </w:tc>
        <w:tc>
          <w:tcPr>
            <w:tcW w:type="dxa" w:w="700"/>
            <w:shd w:fill="F4F4F4"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w:t>
            </w:r>
          </w:p>
        </w:tc>
        <w:tc>
          <w:tcPr>
            <w:tcW w:type="dxa" w:w="900"/>
            <w:shd w:fill="F4F4F4"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3</w:t>
            </w:r>
          </w:p>
        </w:tc>
        <w:tc>
          <w:tcPr>
            <w:tcW w:type="dxa" w:w="900"/>
            <w:shd w:fill="F4F4F4"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3</w:t>
            </w:r>
          </w:p>
        </w:tc>
        <w:tc>
          <w:tcPr>
            <w:tcW w:type="dxa" w:w="900"/>
            <w:shd w:fill="F4F4F4"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3</w:t>
            </w:r>
          </w:p>
        </w:tc>
        <w:tc>
          <w:tcPr>
            <w:tcW w:type="dxa" w:w="1200"/>
            <w:shd w:fill="F4F4F4"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w:t>
            </w:r>
          </w:p>
        </w:tc>
        <w:tc>
          <w:tcPr>
            <w:tcW w:type="dxa" w:w="900"/>
            <w:shd w:fill="F4F4F4"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B</w:t>
            </w:r>
          </w:p>
        </w:tc>
      </w:tr>
      <w:tr>
        <w:tc>
          <w:tcPr>
            <w:tcW w:type="dxa" w:w="19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Erebor</w:t>
            </w:r>
          </w:p>
        </w:tc>
        <w:tc>
          <w:tcPr>
            <w:tcW w:type="dxa" w:w="15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Passed</w:t>
            </w:r>
          </w:p>
        </w:tc>
        <w:tc>
          <w:tcPr>
            <w:tcW w:type="dxa" w:w="7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2.5</w:t>
            </w:r>
          </w:p>
        </w:tc>
        <w:tc>
          <w:tcPr>
            <w:tcW w:type="dxa" w:w="7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1</w:t>
            </w:r>
          </w:p>
        </w:tc>
        <w:tc>
          <w:tcPr>
            <w:tcW w:type="dxa" w:w="7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w:t>
            </w:r>
          </w:p>
        </w:tc>
        <w:tc>
          <w:tcPr>
            <w:tcW w:type="dxa" w:w="9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1</w:t>
            </w:r>
          </w:p>
        </w:tc>
        <w:tc>
          <w:tcPr>
            <w:tcW w:type="dxa" w:w="9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2</w:t>
            </w:r>
          </w:p>
        </w:tc>
        <w:tc>
          <w:tcPr>
            <w:tcW w:type="dxa" w:w="9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3</w:t>
            </w:r>
          </w:p>
        </w:tc>
        <w:tc>
          <w:tcPr>
            <w:tcW w:type="dxa" w:w="12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w:t>
            </w:r>
          </w:p>
        </w:tc>
        <w:tc>
          <w:tcPr>
            <w:tcW w:type="dxa" w:w="9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B</w:t>
            </w:r>
          </w:p>
        </w:tc>
      </w:tr>
    </w:tbl>
    <w:p>
      <w:pPr>
        <w:spacing w:after="140" w:line="276"/>
      </w:pPr>
      <w:r>
        <w:rPr>
          <w:rFonts w:ascii="Calibri" w:cs="Calibri" w:eastAsia="Calibri" w:hAnsi="Calibri"/>
          <w:sz w:val="21"/>
          <w:szCs w:val="21"/>
        </w:rPr>
        <w:t xml:space="preserve">FTQ = Founder / Team Quality. Hayden AI and Erebor show a dash for Weighted Avg because they each triggered a hard auto-pass (Score 1 on Lead/Round Dynamics and AI Score respectively) before the weighted average became relevant to the outcome.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420" w:hanging="320"/>
      </w:pPr>
    </w:lvl>
  </w:abstractNum>
  <w:abstractNum w:abstractNumId="4" w15:restartNumberingAfterBreak="0">
    <w:multiLevelType w:val="hybridMultilevel"/>
    <w:lvl w:ilvl="0" w15:tentative="1">
      <w:start w:val="1"/>
      <w:numFmt w:val="decimal"/>
      <w:lvlText w:val="%1."/>
      <w:lvlJc w:val="left"/>
      <w:pPr>
        <w:ind w:left="420" w:hanging="320"/>
      </w:pPr>
    </w:lvl>
  </w:abstractNum>
  <w:abstractNum w:abstractNumId="5" w15:restartNumberingAfterBreak="0">
    <w:multiLevelType w:val="hybridMultilevel"/>
    <w:lvl w:ilvl="0" w15:tentative="1">
      <w:start w:val="1"/>
      <w:numFmt w:val="decimal"/>
      <w:lvlText w:val="%1."/>
      <w:lvlJc w:val="left"/>
      <w:pPr>
        <w:ind w:left="420" w:hanging="320"/>
      </w:pPr>
    </w:lvl>
  </w:abstractNum>
  <w:abstractNum w:abstractNumId="6" w15:restartNumberingAfterBreak="0">
    <w:multiLevelType w:val="hybridMultilevel"/>
    <w:lvl w:ilvl="0" w15:tentative="1">
      <w:start w:val="1"/>
      <w:numFmt w:val="decimal"/>
      <w:lvlText w:val="%1."/>
      <w:lvlJc w:val="left"/>
      <w:pPr>
        <w:ind w:left="420" w:hanging="320"/>
      </w:pPr>
    </w:lvl>
  </w:abstractNum>
  <w:abstractNum w:abstractNumId="7" w15:restartNumberingAfterBreak="0">
    <w:multiLevelType w:val="hybridMultilevel"/>
    <w:lvl w:ilvl="0" w15:tentative="1">
      <w:start w:val="1"/>
      <w:numFmt w:val="decimal"/>
      <w:lvlText w:val="%1."/>
      <w:lvlJc w:val="left"/>
      <w:pPr>
        <w:ind w:left="420" w:hanging="320"/>
      </w:pPr>
    </w:lvl>
  </w:abstractNum>
  <w:abstractNum w:abstractNumId="8" w15:restartNumberingAfterBreak="0">
    <w:multiLevelType w:val="hybridMultilevel"/>
    <w:lvl w:ilvl="0" w15:tentative="1">
      <w:start w:val="1"/>
      <w:numFmt w:val="decimal"/>
      <w:lvlText w:val="%1."/>
      <w:lvlJc w:val="left"/>
      <w:pPr>
        <w:ind w:left="420" w:hanging="320"/>
      </w:pPr>
    </w:lvl>
  </w:abstractNum>
  <w:abstractNum w:abstractNumId="9" w15:restartNumberingAfterBreak="0">
    <w:multiLevelType w:val="hybridMultilevel"/>
    <w:lvl w:ilvl="0" w15:tentative="1">
      <w:start w:val="1"/>
      <w:numFmt w:val="decimal"/>
      <w:lvlText w:val="%1."/>
      <w:lvlJc w:val="left"/>
      <w:pPr>
        <w:ind w:left="420" w:hanging="320"/>
      </w:pPr>
    </w:lvl>
  </w:abstractNum>
  <w:abstractNum w:abstractNumId="10" w15:restartNumberingAfterBreak="0">
    <w:multiLevelType w:val="hybridMultilevel"/>
    <w:lvl w:ilvl="0" w15:tentative="1">
      <w:start w:val="1"/>
      <w:numFmt w:val="decimal"/>
      <w:lvlText w:val="%1."/>
      <w:lvlJc w:val="left"/>
      <w:pPr>
        <w:ind w:left="420" w:hanging="320"/>
      </w:pPr>
    </w:lvl>
  </w:abstractNum>
  <w:abstractNum w:abstractNumId="11" w15:restartNumberingAfterBreak="0">
    <w:multiLevelType w:val="hybridMultilevel"/>
    <w:lvl w:ilvl="0" w15:tentative="1">
      <w:start w:val="1"/>
      <w:numFmt w:val="decimal"/>
      <w:lvlText w:val="%1."/>
      <w:lvlJc w:val="left"/>
      <w:pPr>
        <w:ind w:left="420" w:hanging="320"/>
      </w:pPr>
    </w:lvl>
  </w:abstractNum>
  <w:abstractNum w:abstractNumId="12" w15:restartNumberingAfterBreak="0">
    <w:multiLevelType w:val="hybridMultilevel"/>
    <w:lvl w:ilvl="0" w15:tentative="1">
      <w:start w:val="1"/>
      <w:numFmt w:val="decimal"/>
      <w:lvlText w:val="%1."/>
      <w:lvlJc w:val="left"/>
      <w:pPr>
        <w:ind w:left="420" w:hanging="320"/>
      </w:pPr>
    </w:lvl>
  </w:abstractNum>
  <w:abstractNum w:abstractNumId="13" w15:restartNumberingAfterBreak="0">
    <w:multiLevelType w:val="hybridMultilevel"/>
    <w:lvl w:ilvl="0" w15:tentative="1">
      <w:start w:val="1"/>
      <w:numFmt w:val="decimal"/>
      <w:lvlText w:val="%1."/>
      <w:lvlJc w:val="left"/>
      <w:pPr>
        <w:ind w:left="420" w:hanging="320"/>
      </w:pPr>
    </w:lvl>
  </w:abstractNum>
  <w:abstractNum w:abstractNumId="14" w15:restartNumberingAfterBreak="0">
    <w:multiLevelType w:val="hybridMultilevel"/>
    <w:lvl w:ilvl="0" w15:tentative="1">
      <w:start w:val="1"/>
      <w:numFmt w:val="decimal"/>
      <w:lvlText w:val="%1."/>
      <w:lvlJc w:val="left"/>
      <w:pPr>
        <w:ind w:left="420" w:hanging="320"/>
      </w:pPr>
    </w:lvl>
  </w:abstractNum>
  <w:abstractNum w:abstractNumId="15" w15:restartNumberingAfterBreak="0">
    <w:multiLevelType w:val="hybridMultilevel"/>
    <w:lvl w:ilvl="0" w15:tentative="1">
      <w:start w:val="1"/>
      <w:numFmt w:val="decimal"/>
      <w:lvlText w:val="%1."/>
      <w:lvlJc w:val="left"/>
      <w:pPr>
        <w:ind w:left="420" w:hanging="320"/>
      </w:pPr>
    </w:lvl>
  </w:abstractNum>
  <w:abstractNum w:abstractNumId="16" w15:restartNumberingAfterBreak="0">
    <w:multiLevelType w:val="hybridMultilevel"/>
    <w:lvl w:ilvl="0" w15:tentative="1">
      <w:start w:val="1"/>
      <w:numFmt w:val="decimal"/>
      <w:lvlText w:val="%1."/>
      <w:lvlJc w:val="left"/>
      <w:pPr>
        <w:ind w:left="420" w:hanging="320"/>
      </w:pPr>
    </w:lvl>
  </w:abstractNum>
  <w:abstractNum w:abstractNumId="17" w15:restartNumberingAfterBreak="0">
    <w:multiLevelType w:val="hybridMultilevel"/>
    <w:lvl w:ilvl="0" w15:tentative="1">
      <w:start w:val="1"/>
      <w:numFmt w:val="decimal"/>
      <w:lvlText w:val="%1."/>
      <w:lvlJc w:val="left"/>
      <w:pPr>
        <w:ind w:left="420" w:hanging="320"/>
      </w:pPr>
    </w:lvl>
  </w:abstractNum>
  <w:abstractNum w:abstractNumId="18" w15:restartNumberingAfterBreak="0">
    <w:multiLevelType w:val="hybridMultilevel"/>
    <w:lvl w:ilvl="0" w15:tentative="1">
      <w:start w:val="1"/>
      <w:numFmt w:val="decimal"/>
      <w:lvlText w:val="%1."/>
      <w:lvlJc w:val="left"/>
      <w:pPr>
        <w:ind w:left="420" w:hanging="320"/>
      </w:pPr>
    </w:lvl>
  </w:abstractNum>
  <w:abstractNum w:abstractNumId="19" w15:restartNumberingAfterBreak="0">
    <w:multiLevelType w:val="hybridMultilevel"/>
    <w:lvl w:ilvl="0" w15:tentative="1">
      <w:start w:val="1"/>
      <w:numFmt w:val="decimal"/>
      <w:lvlText w:val="%1."/>
      <w:lvlJc w:val="left"/>
      <w:pPr>
        <w:ind w:left="420" w:hanging="320"/>
      </w:pPr>
    </w:lvl>
  </w:abstractNum>
  <w:abstractNum w:abstractNumId="20" w15:restartNumberingAfterBreak="0">
    <w:multiLevelType w:val="hybridMultilevel"/>
    <w:lvl w:ilvl="0" w15:tentative="1">
      <w:start w:val="1"/>
      <w:numFmt w:val="decimal"/>
      <w:lvlText w:val="%1."/>
      <w:lvlJc w:val="left"/>
      <w:pPr>
        <w:ind w:left="420" w:hanging="320"/>
      </w:pPr>
    </w:lvl>
  </w:abstractNum>
  <w:abstractNum w:abstractNumId="21" w15:restartNumberingAfterBreak="0">
    <w:multiLevelType w:val="hybridMultilevel"/>
    <w:lvl w:ilvl="0" w15:tentative="1">
      <w:start w:val="1"/>
      <w:numFmt w:val="decimal"/>
      <w:lvlText w:val="%1."/>
      <w:lvlJc w:val="left"/>
      <w:pPr>
        <w:ind w:left="420" w:hanging="320"/>
      </w:pPr>
    </w:lvl>
  </w:abstractNum>
  <w:abstractNum w:abstractNumId="22" w15:restartNumberingAfterBreak="0">
    <w:multiLevelType w:val="hybridMultilevel"/>
    <w:lvl w:ilvl="0" w15:tentative="1">
      <w:start w:val="1"/>
      <w:numFmt w:val="decimal"/>
      <w:lvlText w:val="%1."/>
      <w:lvlJc w:val="left"/>
      <w:pPr>
        <w:ind w:left="420" w:hanging="32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2026-07-14T20:02:32.650Z</dcterms:created>
  <dcterms:modified xsi:type="dcterms:W3CDTF">2026-07-14T20:02:32.655Z</dcterms:modified>
</cp:coreProperties>
</file>

<file path=docProps/custom.xml><?xml version="1.0" encoding="utf-8"?>
<Properties xmlns="http://schemas.openxmlformats.org/officeDocument/2006/custom-properties" xmlns:vt="http://schemas.openxmlformats.org/officeDocument/2006/docPropsVTypes"/>
</file>