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stored procedure is an executable database object that contains SQL statements.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Stored procedures are precompiled.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Application programmers and end users don’t need to know the structure of the database or SQL.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Ability to restrict control access to the database.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Execute procedures using the EXEC command.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Cont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EXECUTE_AS_clause allows users to execute the stored procedure with permissions specified by the clause.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create a temporary stored procedure prefix the procedure with # for local, and ## for global; these procedures only exist while the current session is open.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can use parameters to pass one or more value from the calling program to the stored procedure.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name of a stored procedure is typically prepended with ‘sp.’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Execution: EXEC spProcdure_name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PROC spInvTotal1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@DateVar smalldatetime,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@InvTotal money OUTPUT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SELECT @InvTotal = SUM(InvoiceTotal)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FROM Invoices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WHERE InvoiceDate &gt;= @DateVar;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CREATE PROC spInvTotal3 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@InvTotal money OUTPUT, 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@DateVar smalldatetime = NULL,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@VendorVar varchar(40) = '%'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IF @DateVar IS NULL 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SELECT @DateVar = MIN(InvoiceDate) FROM Invoices; 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SELECT @InvTotal = SUM(InvoiceTotal)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FROM Invoices JOIN Vendors ON Invoices.VendorID = Vendors.VendorID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WHERE (InvoiceDate &gt;= @DateVar) AND (VendorName LIKE @VendorVar);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Example: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CREATE PROC spInvCount @DateVar smalldatetime = NULL,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@VendorVar varchar(40) = ‘%’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IF @DateVar IS NULL 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SELECT @DateVar = Min(InvoiceDate) FROM Invoices;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DECLARE @InvCount int;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SELECT @InvCount = COUNT(InvoiceID)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FROM Invoices JOIN Vendors ON Invoices.VendorID = Vendors.VendorID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WHERE (InvoiceDate &gt;= @DateVar) AND (VendorName LIKE @VendorVar);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RETURN @InvCount;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User-Defined Functions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 User-Defined Function (UDF or ‘ a function’) is an executable database object that contains SQL statements.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The name can be up to 128 characters 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Typically prefixed with the letters ‘fn’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Functions Always return a value 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Scalar-Valued Function returns a single value of any T-SQL data type 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Table-Valued Function returns an entire table 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If based on a single SELECT statement -&gt; ‘simple table valued function’ 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If based on multiple SQL statements -&gt; ‘multi-statement table-valued function’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vs Procedure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Function must return single value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only input parameter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no permanent changes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no try catch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Procedure can return zero, one, multiple values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input and output parameters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not with select having where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can use try catch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 procedure which is executed after specific action queries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Action queries: essentially (but not always) DML statements.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Executed on a table or view.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Cannot trigger directly, pass parameters to a trigger, or expect a trigger to return a value back.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Within triggers you refer to the Inserted and Deleted tables created by the system.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FOR </w:t>
        <w:tab/>
        <w:tab/>
        <w:t xml:space="preserve">ANSI-standard Executes the trigger’s action query after the original action query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AFTER </w:t>
        <w:tab/>
        <w:t xml:space="preserve">Introduced in SQL Server 2000 Same as FOR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INSTEAD OF </w:t>
        <w:tab/>
        <w:t xml:space="preserve">Executes the trigger’s action query instead of the original action query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Trigger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A table can have multiple AFTER triggers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A view can’t have an AFTER trigger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If there is an error in the original query the AFTER action query is never executed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EVENTDATA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When a trigger is created for a DDL statement the EVENTDATA() function becomes available.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EVENTDATA() returns an XML document that contains all information about the event causing the trigger to fire.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DECLARE @EventData xml;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SET @EventData = EVENTDATA();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