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shd w:fill="FDF3E7"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v2.3 — revised against a working reference implementation run on the real LIAR and PHEME-9 corpora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0. What changed in v2.3, and why</w:t>
      </w:r>
    </w:p>
    <w:p>
      <w:pPr>
        <w:spacing w:after="140" w:line="276"/>
      </w:pPr>
      <w:r>
        <w:rPr>
          <w:rFonts w:ascii="Calibri" w:cs="Calibri" w:eastAsia="Calibri" w:hAnsi="Calibri"/>
          <w:color w:val="1A1A1A"/>
          <w:sz w:val="21"/>
          <w:szCs w:val="21"/>
        </w:rPr>
        <w:t xml:space="preserve">The design was implemented end to end and run over the full preregistered grid — 1,080 episodes on the real LIAR corpus and all 6,425 real PHEME-9 threads — using an analytic surrogate policy in place of LLM backbones. The purpose was not to obtain results (a surrogate cannot produce results about language models) but to find out whether the protocol, as written, can answer the questions it asks. </w:t>
      </w:r>
      <w:r>
        <w:rPr>
          <w:rFonts w:ascii="Calibri" w:cs="Calibri" w:eastAsia="Calibri" w:hAnsi="Calibri"/>
          <w:b/>
          <w:bCs/>
          <w:color w:val="1A1A1A"/>
          <w:sz w:val="21"/>
          <w:szCs w:val="21"/>
        </w:rPr>
        <w:t xml:space="preserve">It cannot, in five specific ways.</w:t>
      </w:r>
      <w:r>
        <w:rPr>
          <w:rFonts w:ascii="Calibri" w:cs="Calibri" w:eastAsia="Calibri" w:hAnsi="Calibri"/>
          <w:color w:val="1A1A1A"/>
          <w:sz w:val="21"/>
          <w:szCs w:val="21"/>
        </w:rPr>
        <w:t xml:space="preserve"> Each is fixed below; each fix is traceable to evidence in the reference implementation. v2.1 fixed the first four, found against real LIAR; v2.2 adds the fifth and a correction to the second, both of which only surfaced once the real PHEME release was in hand.</w:t>
      </w:r>
    </w:p>
    <w:p>
      <w:pPr>
        <w:spacing w:after="200" w:line="276"/>
      </w:pPr>
      <w:r>
        <w:rPr>
          <w:rFonts w:ascii="Calibri" w:cs="Calibri" w:eastAsia="Calibri" w:hAnsi="Calibri"/>
          <w:i/>
          <w:iCs/>
          <w:color w:val="5A5A5A"/>
          <w:sz w:val="21"/>
          <w:szCs w:val="21"/>
        </w:rPr>
        <w:t xml:space="preserve">This is the cheapest possible moment to discover these. Three of the four would have surfaced only in Week 14, during analysis, with the compute budget already spent.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310"/>
        <w:gridCol w:w="3024"/>
        <w:gridCol w:w="4234"/>
        <w:gridCol w:w="1512"/>
      </w:tblGrid>
      <w:tr>
        <w:trPr>
          <w:tblHeader/>
        </w:trPr>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Problem in v2.0</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Revision in v2.1</w:t>
            </w:r>
          </w:p>
        </w:tc>
        <w:tc>
          <w:tcPr>
            <w:tcW w:type="dxa" w:w="151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Evidence</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5.9, 8</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 seeds/cell powers only one of the five primary contrasts. The headline hypothesis H3 needs ~259 seeds/cell; H1 needs ~105.</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Two-tier design: a 30-seed confirmatory grid for contrasts that it powers, plus a focused 300-seed arm for the tone contrast. Grid grows to 2,280 episodes, not 6,000.</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Power analysis over 1,080 episodes; detection validated at 200 seeds and null-DGP specificity confirmed.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 Σπ ranks every working intervention far below doing nothing, because δ-damage is deadweight and generating it is the intervener's function.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welfare is now accuracy + conformity, with sanction costs reported separately — the standard treatment in experimental public-goods work.</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Control −26.5 vs best intervention −152.7 on Σπ; the ordering reverses once sanctions are separated.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placebo arm cannot test specificity, because the intervener is stipulated to challenge whatever it is shown.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intervener judges veracity first and may decline. Its false-alarm rate is logged, and the specificity contrast is preregistered conditional on it having fired.</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Pooled contrast null (p = 0.71); conditional on firing, false corrections double (+0.065, p = 0.002).</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Pollution half-life (FPR &lt; 0.2, sustained) is unreachable in 12 rounds against a persistent disseminator.</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is now area-under-FPR, with a relative-threshold survival analysis as secondary and T extended to 16.</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97.9% censoring — 10 of 480 treated episodes reach the threshold.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network position is unspecified, so treatment strength varies silently.</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Placement declared (highest-degree non-root); reach logged as a covariate.</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Reach ranges 0–5 citizens; ρ = 0.34 with EPC.</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 (new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reply tree is used as the visibility graph. Against real PHEME this makes 69% of motifs broadcast stars, in which no local majority can form and no citizen can observe another correcting — the study's central mechanism, absent from 89% of real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Visibility is modelled as bounded attention: an agent sees the source plus the replies adjacent to its own in thread display order. No motif is a star, none is a clique, no thread is discarded.</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89% of real motifs had no citizen-to-citizen edge; 0% after. Intervention → EPC strengthens from d = 0.69 to 0.93.</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 (revised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Welfare excluding sanctions still mixes accuracy with conformity, and conformity is maximised by the control arm.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is the veracity component alone; conformity and sanction costs are reported beside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Under denser neighbourhoods conformity grows to ~90 points and reverses the ordering; accuracy is the only component stable in sign.</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2.1 (new in v2.3)</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plan positions itself against the misinformation-simulation literature only, and cites the GovSim / SanctSim / MoralSim / CoopEval line without using it.</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section stating the relationship: NudgeSim is an instance of that programme applied to information as the public good, and asks the second-order question of an intervention rather than of a population.</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 findings from the reference implementation generalise to that whole line — see the callout in §2.1.</w:t>
            </w:r>
          </w:p>
        </w:tc>
      </w:tr>
    </w:tbl>
    <w:p>
      <w:pPr>
        <w:spacing w:after="120" w:line="276"/>
      </w:pPr>
      <w:r>
        <w:rPr>
          <w:rFonts w:ascii="Calibri" w:cs="Calibri" w:eastAsia="Calibri" w:hAnsi="Calibri"/>
          <w:i/>
          <w:iCs/>
          <w:color w:val="5A5A5A"/>
          <w:sz w:val="21"/>
          <w:szCs w:val="21"/>
        </w:rPr>
        <w:t xml:space="preserve">Nothing in the contribution claim (§2), the theoretical framing (§3), or the ethics position (§11) changes. The revisions are to measurement and sample size — that is, to whether the study can see what it is looking for.</w:t>
      </w:r>
    </w:p>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(four model families), against a no-intervener control, a true-claim placebo arm, and two theoretically motivated ablations.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four model families respond to intervention timing and tone under identical incentives; (ii) NudgeSim, an open, payoff-instrumented testbed released with a one-command reproduction script; and (iii) a preregistered manuscript, positioned for a social-agents workshop and an ICWSM/CSCW or ARR main-track submission. </w:t>
      </w:r>
      <w:r>
        <w:rPr>
          <w:rFonts w:ascii="Calibri" w:cs="Calibri" w:eastAsia="Calibri" w:hAnsi="Calibri"/>
          <w:b/>
          <w:bCs/>
          <w:color w:val="1A1A1A"/>
          <w:sz w:val="21"/>
          <w:szCs w:val="21"/>
        </w:rPr>
        <w:t xml:space="preserve">A reference implementation of the framework already exists and is the basis for the v2.1 revisions; the 16-week plan therefore begins from a working engine rather than from scratch.</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v1 framing of this project ("no one has crossed timing with tone") would therefore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Four model families benchmarked under identical incentives; model-dependence of intervention effects is a first-class result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pStyle w:val="Heading2"/>
        <w:spacing w:after="120" w:before="280"/>
      </w:pPr>
      <w:r>
        <w:rPr>
          <w:rFonts w:ascii="Calibri" w:cs="Calibri" w:eastAsia="Calibri" w:hAnsi="Calibri"/>
          <w:b/>
          <w:bCs/>
          <w:color w:val="1F4E79"/>
          <w:sz w:val="26"/>
          <w:szCs w:val="26"/>
        </w:rPr>
        <w:t xml:space="preserve">2.1 Relation to the GovSim / SanctSim / MoralSim / CoopEval line</w:t>
      </w:r>
    </w:p>
    <w:p>
      <w:pPr>
        <w:spacing w:after="140" w:line="276"/>
      </w:pPr>
      <w:r>
        <w:rPr>
          <w:rFonts w:ascii="Calibri" w:cs="Calibri" w:eastAsia="Calibri" w:hAnsi="Calibri"/>
          <w:color w:val="1A1A1A"/>
          <w:sz w:val="21"/>
          <w:szCs w:val="21"/>
        </w:rPr>
        <w:t xml:space="preserve">The section above positions NudgeSim against the counter-misinformation simulation literature. That is the wrong comparison to lead with for this application, because the closest intellectual parent is not MADD — it is the programme this lab has been building.</w:t>
      </w:r>
    </w:p>
    <w:p>
      <w:pPr>
        <w:spacing w:after="140" w:line="276"/>
      </w:pPr>
      <w:r>
        <w:rPr>
          <w:rFonts w:ascii="Calibri" w:cs="Calibri" w:eastAsia="Calibri" w:hAnsi="Calibri"/>
          <w:b/>
          <w:bCs/>
          <w:color w:val="1A1A1A"/>
          <w:sz w:val="21"/>
          <w:szCs w:val="21"/>
        </w:rPr>
        <w:t xml:space="preserve">GovSim</w:t>
      </w:r>
      <w:r>
        <w:rPr>
          <w:rFonts w:ascii="Calibri" w:cs="Calibri" w:eastAsia="Calibri" w:hAnsi="Calibri"/>
          <w:color w:val="1A1A1A"/>
          <w:sz w:val="21"/>
          <w:szCs w:val="21"/>
        </w:rPr>
        <w:t xml:space="preserve"> (Piatti, Jin et al., NeurIPS 2024) asks whether a society of LLM agents can sustain a shared resource, and finds that sustaining it is the exception rather than the rule. </w:t>
      </w:r>
      <w:r>
        <w:rPr>
          <w:rFonts w:ascii="Calibri" w:cs="Calibri" w:eastAsia="Calibri" w:hAnsi="Calibri"/>
          <w:b/>
          <w:bCs/>
          <w:color w:val="1A1A1A"/>
          <w:sz w:val="21"/>
          <w:szCs w:val="21"/>
        </w:rPr>
        <w:t xml:space="preserve">SanctSim</w:t>
      </w:r>
      <w:r>
        <w:rPr>
          <w:rFonts w:ascii="Calibri" w:cs="Calibri" w:eastAsia="Calibri" w:hAnsi="Calibri"/>
          <w:color w:val="1A1A1A"/>
          <w:sz w:val="21"/>
          <w:szCs w:val="21"/>
        </w:rPr>
        <w:t xml:space="preserve"> (Piedrahita et al. &amp; Jin, COLM 2025) moves from the resource to the institution that protects it, placing LLM agents in a public-goods game with sanctioning and asking who pays to punish. </w:t>
      </w:r>
      <w:r>
        <w:rPr>
          <w:rFonts w:ascii="Calibri" w:cs="Calibri" w:eastAsia="Calibri" w:hAnsi="Calibri"/>
          <w:b/>
          <w:bCs/>
          <w:color w:val="1A1A1A"/>
          <w:sz w:val="21"/>
          <w:szCs w:val="21"/>
        </w:rPr>
        <w:t xml:space="preserve">MoralSim</w:t>
      </w:r>
      <w:r>
        <w:rPr>
          <w:rFonts w:ascii="Calibri" w:cs="Calibri" w:eastAsia="Calibri" w:hAnsi="Calibri"/>
          <w:color w:val="1A1A1A"/>
          <w:sz w:val="21"/>
          <w:szCs w:val="21"/>
        </w:rPr>
        <w:t xml:space="preserve"> (Backmann et al. &amp; Jin, 2025) separates what an agent's payoff rewards from what its stated ethics require, and watches which wins. </w:t>
      </w:r>
      <w:r>
        <w:rPr>
          <w:rFonts w:ascii="Calibri" w:cs="Calibri" w:eastAsia="Calibri" w:hAnsi="Calibri"/>
          <w:b/>
          <w:bCs/>
          <w:color w:val="1A1A1A"/>
          <w:sz w:val="21"/>
          <w:szCs w:val="21"/>
        </w:rPr>
        <w:t xml:space="preserve">CoopEval</w:t>
      </w:r>
      <w:r>
        <w:rPr>
          <w:rFonts w:ascii="Calibri" w:cs="Calibri" w:eastAsia="Calibri" w:hAnsi="Calibri"/>
          <w:color w:val="1A1A1A"/>
          <w:sz w:val="21"/>
          <w:szCs w:val="21"/>
        </w:rPr>
        <w:t xml:space="preserve"> (Tewolde, Zhang, Piedrahita, Conitzer &amp; Jin, ICML 2026) turns those designs into a benchmark of cooperation-sustaining mechanisms.</w:t>
      </w:r>
    </w:p>
    <w:p>
      <w:pPr>
        <w:spacing w:after="140" w:line="276"/>
      </w:pPr>
      <w:r>
        <w:rPr>
          <w:rFonts w:ascii="Calibri" w:cs="Calibri" w:eastAsia="Calibri" w:hAnsi="Calibri"/>
          <w:color w:val="1A1A1A"/>
          <w:sz w:val="21"/>
          <w:szCs w:val="21"/>
        </w:rPr>
        <w:t xml:space="preserve">Read together, that is a single research programme: </w:t>
      </w:r>
      <w:r>
        <w:rPr>
          <w:rFonts w:ascii="Calibri" w:cs="Calibri" w:eastAsia="Calibri" w:hAnsi="Calibri"/>
          <w:i/>
          <w:iCs/>
          <w:color w:val="1A1A1A"/>
          <w:sz w:val="21"/>
          <w:szCs w:val="21"/>
        </w:rPr>
        <w:t xml:space="preserve">give LLM agents an explicit payoff, put them in a dilemma with a known human-experimental benchmark, and measure what they do rather than what they say.</w:t>
      </w:r>
      <w:r>
        <w:rPr>
          <w:rFonts w:ascii="Calibri" w:cs="Calibri" w:eastAsia="Calibri" w:hAnsi="Calibri"/>
          <w:color w:val="1A1A1A"/>
          <w:sz w:val="21"/>
          <w:szCs w:val="21"/>
        </w:rPr>
        <w:t xml:space="preserve"> NudgeSim is not adjacent to this programme. It is an instance of it, applied to the one public good whose collapse is already a live policy problem.</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3730"/>
        <w:gridCol w:w="3730"/>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That line</w:t>
            </w:r>
          </w:p>
        </w:tc>
        <w:tc>
          <w:tcPr>
            <w:tcW w:type="dxa" w:w="37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public good</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shared resource (GovSim) or a contribution pot (SanctSim) — abstract by design, so the dilemma is clean.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Accurate information in a feed. Verifying is privately costly; a less-polluted feed benefits everyone.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Free-riding</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Over-extraction; withholding contribution.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Sharing engaging but unverified content: the conformity reward lands immediately, the veracity penalty is deferred.</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sanction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punishment of defectors (SanctSim).</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Costly peer correction — CHALLENGE, priced at κ.</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open question</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Who pays the sanction, and do reasoning models pay less?</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happens when an outside agent is stipulated to pay it. Does an exogenous sanctioner build the society's own willingness to correct, or replace it?</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What is new here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7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second-order question asked of an intervention rather than of the population: not whether agents sanction, but whether being sanctioned FOR changes whether they sanction.</w:t>
            </w:r>
          </w:p>
        </w:tc>
      </w:tr>
    </w:tbl>
    <w:p>
      <w:pPr>
        <w:spacing w:after="140" w:line="276"/>
      </w:pPr>
      <w:r>
        <w:rPr>
          <w:rFonts w:ascii="Calibri" w:cs="Calibri" w:eastAsia="Calibri" w:hAnsi="Calibri"/>
          <w:color w:val="1A1A1A"/>
          <w:sz w:val="21"/>
          <w:szCs w:val="21"/>
        </w:rPr>
        <w:t xml:space="preserve">This framing also explains the choice of headline outcome. Propagation of the false claim is the obvious dependent variable and the one the misinformation literature reports; </w:t>
      </w:r>
      <w:r>
        <w:rPr>
          <w:rFonts w:ascii="Calibri" w:cs="Calibri" w:eastAsia="Calibri" w:hAnsi="Calibri"/>
          <w:b/>
          <w:bCs/>
          <w:color w:val="1A1A1A"/>
          <w:sz w:val="21"/>
          <w:szCs w:val="21"/>
        </w:rPr>
        <w:t xml:space="preserve">endogenous peer correction is the one this line would ask for</w:t>
      </w:r>
      <w:r>
        <w:rPr>
          <w:rFonts w:ascii="Calibri" w:cs="Calibri" w:eastAsia="Calibri" w:hAnsi="Calibri"/>
          <w:color w:val="1A1A1A"/>
          <w:sz w:val="21"/>
          <w:szCs w:val="21"/>
        </w:rPr>
        <w:t xml:space="preserve">, because it is second-order cooperation measured as an action the agent pays for. A study that lowered propagation while quietly eroding the society's own willingness to correct would look like a success on the first measure and a failure on the second, and only the second is about cooperation.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What the reference implementation already says to this line</w:t>
            </w:r>
          </w:p>
          <w:p>
            <w:pPr>
              <w:spacing w:after="60" w:line="260"/>
            </w:pPr>
            <w:r>
              <w:rPr>
                <w:rFonts w:ascii="Calibri" w:cs="Calibri" w:eastAsia="Calibri" w:hAnsi="Calibri"/>
                <w:color w:val="1A1A1A"/>
                <w:sz w:val="20"/>
                <w:szCs w:val="20"/>
              </w:rPr>
              <w:t xml:space="preserve">Two results from building and running the design are about the programme, not about misinformation specifically, and both would apply to any study in it.</w:t>
            </w:r>
          </w:p>
          <w:p>
            <w:pPr>
              <w:spacing w:after="60" w:line="260"/>
            </w:pPr>
            <w:r>
              <w:rPr>
                <w:rFonts w:ascii="Calibri" w:cs="Calibri" w:eastAsia="Calibri" w:hAnsi="Calibri"/>
                <w:b/>
                <w:bCs/>
                <w:color w:val="1A1A1A"/>
                <w:sz w:val="21"/>
                <w:szCs w:val="21"/>
              </w:rPr>
              <w:t xml:space="preserve">Backbone dominates mechanism. </w:t>
            </w:r>
            <w:r>
              <w:rPr>
                <w:rFonts w:ascii="Calibri" w:cs="Calibri" w:eastAsia="Calibri" w:hAnsi="Calibri"/>
                <w:color w:val="1A1A1A"/>
                <w:sz w:val="21"/>
                <w:szCs w:val="21"/>
              </w:rPr>
              <w:t xml:space="preserve">Across the grid, which model family the citizens run on accounts for roughly thirty per cent of the variance in peer correction, against single digits for the intervention's timing and tone. If that survives contact with real backbones, then in this class of study the model is not a nuisance parameter to be averaged over — it is the largest effect in the room, and a mechanism benchmark that reports a single backbone is reporting one draw from a wide distribution.</w:t>
            </w:r>
          </w:p>
          <w:p>
            <w:pPr>
              <w:spacing w:after="60" w:line="260"/>
            </w:pPr>
            <w:r>
              <w:rPr>
                <w:rFonts w:ascii="Calibri" w:cs="Calibri" w:eastAsia="Calibri" w:hAnsi="Calibri"/>
                <w:b/>
                <w:bCs/>
                <w:color w:val="1A1A1A"/>
                <w:sz w:val="21"/>
                <w:szCs w:val="21"/>
              </w:rPr>
              <w:t xml:space="preserve">Summing a payoff function is not a welfare measure. </w:t>
            </w:r>
            <w:r>
              <w:rPr>
                <w:rFonts w:ascii="Calibri" w:cs="Calibri" w:eastAsia="Calibri" w:hAnsi="Calibri"/>
                <w:color w:val="1A1A1A"/>
                <w:sz w:val="21"/>
                <w:szCs w:val="21"/>
              </w:rPr>
              <w:t xml:space="preserve">Total payoff ranked every working intervention below doing nothing, because the sanction costs it charges are exactly what a working intervention generates. Removing them was not enough either: the conformity term then dominated, and conformity is maximised by the arm where nobody disagrees. Only the veracity term is stable. Any design in this line that reports Σπ as welfare inherits the same problem, and the fix is to report the component that tracks the good being provided.</w:t>
            </w:r>
          </w:p>
        </w:tc>
      </w:tr>
    </w:tbl>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16   (all swept in robustness; see §5.9)</w:t>
            </w:r>
          </w:p>
        </w:tc>
      </w:tr>
    </w:tbl>
    <w:p>
      <w:pPr>
        <w:spacing w:after="140" w:line="276"/>
      </w:pPr>
      <w:r>
        <w:rPr>
          <w:rFonts w:ascii="Calibri" w:cs="Calibri" w:eastAsia="Calibri" w:hAnsi="Calibri"/>
          <w:b/>
          <w:bCs/>
          <w:color w:val="1A1A1A"/>
          <w:sz w:val="21"/>
          <w:szCs w:val="21"/>
        </w:rPr>
        <w:t xml:space="preserve">Accounting conventions, made explicit in v2.1.</w:t>
      </w:r>
      <w:r>
        <w:rPr>
          <w:rFonts w:ascii="Calibri" w:cs="Calibri" w:eastAsia="Calibri" w:hAnsi="Calibri"/>
          <w:color w:val="1A1A1A"/>
          <w:sz w:val="21"/>
          <w:szCs w:val="21"/>
        </w:rPr>
        <w:t xml:space="preserve"> Three details that §3.2 leaves implicit change the numbers materially and are now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(v2.1,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 (headline)</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the hypotheses are now tiered</w:t>
            </w:r>
          </w:p>
          <w:p>
            <w:pPr>
              <w:spacing w:after="60" w:line="260"/>
            </w:pPr>
            <w:r>
              <w:rPr>
                <w:rFonts w:ascii="Calibri" w:cs="Calibri" w:eastAsia="Calibri" w:hAnsi="Calibri"/>
                <w:color w:val="1A1A1A"/>
                <w:sz w:val="20"/>
                <w:szCs w:val="20"/>
              </w:rPr>
              <w:t xml:space="preserve">The reference implementation shows that at 30 seeds/cell the core grid powers exactly one primary contrast (intervention vs control on EPC, d ≈ 0.80, n ≈ 26). H1 needs ~105 seeds/cell and H3 ~259. Declaring every hypothesis confirmatory at a sample that cannot test four of them is the kind of thing reviewers catch and preregistration is supposed to prevent.</w:t>
            </w:r>
          </w:p>
          <w:p>
            <w:pPr>
              <w:spacing w:after="60" w:line="260"/>
            </w:pPr>
            <w:r>
              <w:rPr>
                <w:rFonts w:ascii="Calibri" w:cs="Calibri" w:eastAsia="Calibri" w:hAnsi="Calibri"/>
                <w:color w:val="1A1A1A"/>
                <w:sz w:val="20"/>
                <w:szCs w:val="20"/>
              </w:rPr>
              <w:t xml:space="preserve">H3 is small for a structural reason worth stating in the manuscript: tone reaches peer correction through two opposing channels. An aggressive corrector displaces responsibility (lowering EPC) and also updates beliefs harder (raising it). The net is a difference of two larger quantities — precisely the shape of effect a small design cannot resolve.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v2.1: it first judges whether the claim is false and may decline to act — see §5.3.</w:t>
            </w:r>
          </w:p>
        </w:tc>
      </w:tr>
    </w:tbl>
    <w:p>
      <w:pPr>
        <w:pStyle w:val="Heading2"/>
        <w:spacing w:after="120" w:before="280"/>
      </w:pPr>
      <w:r>
        <w:rPr>
          <w:rFonts w:ascii="Calibri" w:cs="Calibri" w:eastAsia="Calibri" w:hAnsi="Calibri"/>
          <w:b/>
          <w:bCs/>
          <w:color w:val="1F4E79"/>
          <w:sz w:val="26"/>
          <w:szCs w:val="26"/>
        </w:rPr>
        <w:t xml:space="preserve">5.2 Network topology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intervener placement and reach are now declared, not left to chance</w:t>
            </w:r>
          </w:p>
          <w:p>
            <w:pPr>
              <w:spacing w:after="60" w:line="260"/>
            </w:pPr>
            <w:r>
              <w:rPr>
                <w:rFonts w:ascii="Calibri" w:cs="Calibri" w:eastAsia="Calibri" w:hAnsi="Calibri"/>
                <w:color w:val="1A1A1A"/>
                <w:sz w:val="20"/>
                <w:szCs w:val="20"/>
              </w:rPr>
              <w:t xml:space="preserve">v2.0 specifies where the Disseminator goes but not where the intervener goes. This is not a detail: the Devil's Advocate is a peer in a network, so it is visible only to its neighbours. The intervener is now placed on the highest-degree non-root node, the position a platform-embedded corrector would occupy, and its reach is logged per episode and entered as a covariate in the primary models (reach correlates with peer correction at ρ = 0.34, p &lt; 1e-13).</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v2.2 — the reply tree is not the visibility graph</w:t>
            </w:r>
          </w:p>
          <w:p>
            <w:pPr>
              <w:spacing w:after="60" w:line="260"/>
            </w:pPr>
            <w:r>
              <w:rPr>
                <w:rFonts w:ascii="Calibri" w:cs="Calibri" w:eastAsia="Calibri" w:hAnsi="Calibri"/>
                <w:color w:val="1A1A1A"/>
                <w:sz w:val="20"/>
                <w:szCs w:val="20"/>
              </w:rPr>
              <w:t xml:space="preserve">This is the change that mattered most, and it only appeared once the real PHEME release was in hand. Sampling a 7-node motif around the cascade root produces a BROADCAST STAR 69% of the time, because real PHEME cascades are broad and shallow (mean branching 4.46, mean depth 3.59). Rooted at the Disseminator, a star gives every citizen exactly one neighbour — the Disseminator. In 89% of real motifs no local majority could form among the five citizens, and no citizen could ever observe another paying the correction cost, which is the demonstration channel the headline outcome measures.</w:t>
            </w:r>
          </w:p>
          <w:p>
            <w:pPr>
              <w:spacing w:after="60" w:line="260"/>
            </w:pPr>
            <w:r>
              <w:rPr>
                <w:rFonts w:ascii="Calibri" w:cs="Calibri" w:eastAsia="Calibri" w:hAnsi="Calibri"/>
                <w:color w:val="1A1A1A"/>
                <w:sz w:val="20"/>
                <w:szCs w:val="20"/>
              </w:rPr>
              <w:t xml:space="preserve">Neither existing gate detects this. The section 5.7 calibration gate passes MORE comfortably on real PHEME than on surrogate topology, because it tests cascade shape and diffusion asymmetry and neither is sensitive to whether the agents can see one another.</w:t>
            </w:r>
          </w:p>
          <w:p>
            <w:pPr>
              <w:spacing w:after="60" w:line="260"/>
            </w:pPr>
            <w:r>
              <w:rPr>
                <w:rFonts w:ascii="Calibri" w:cs="Calibri" w:eastAsia="Calibri" w:hAnsi="Calibri"/>
                <w:b/>
                <w:bCs/>
                <w:color w:val="1A1A1A"/>
                <w:sz w:val="21"/>
                <w:szCs w:val="21"/>
              </w:rPr>
              <w:t xml:space="preserve">The cause is a conflation. </w:t>
            </w:r>
            <w:r>
              <w:rPr>
                <w:rFonts w:ascii="Calibri" w:cs="Calibri" w:eastAsia="Calibri" w:hAnsi="Calibri"/>
                <w:color w:val="1A1A1A"/>
                <w:sz w:val="21"/>
                <w:szCs w:val="21"/>
              </w:rPr>
              <w:t xml:space="preserve">structure.json is a reply tree — it records who answered whom. The design needs who can SEE whom, and a threaded conversation shows sibling replies too. Connecting every sibling is the opposite error: in a star every reply is a sibling of every other, so the motif becomes the complete graph, "local" majority becomes global, and the topology stops varying (measured: 68% of motifs become K7).</w:t>
            </w:r>
          </w:p>
          <w:p>
            <w:pPr>
              <w:spacing w:after="60" w:line="260"/>
            </w:pPr>
            <w:r>
              <w:rPr>
                <w:rFonts w:ascii="Calibri" w:cs="Calibri" w:eastAsia="Calibri" w:hAnsi="Calibri"/>
                <w:b/>
                <w:bCs/>
                <w:color w:val="1A1A1A"/>
                <w:sz w:val="21"/>
                <w:szCs w:val="21"/>
              </w:rPr>
              <w:t xml:space="preserve">Bounded attention. </w:t>
            </w:r>
            <w:r>
              <w:rPr>
                <w:rFonts w:ascii="Calibri" w:cs="Calibri" w:eastAsia="Calibri" w:hAnsi="Calibri"/>
                <w:color w:val="1A1A1A"/>
                <w:sz w:val="21"/>
                <w:szCs w:val="21"/>
              </w:rPr>
              <w:t xml:space="preserve">A thread view is ranked and truncated — a reader sees the source plus the replies near their own, not all fifty. Each reply is therefore linked to the w siblings following it in display order. At w = 1, on all 6,425 real threads: no motif is a star, none is complete, mean density 0.50, and no thread is discarded (the reach filter keeps 201 of 201 motifs, against 63 before). Effect sizes strengthen because the mechanism can operate: intervention → EPC rises from d = 0.69 to 0.93, and H1 from d = −0.38 to −0.61.</w:t>
            </w:r>
          </w:p>
        </w:tc>
      </w:tr>
    </w:tbl>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16 rounds (v2.1; see §5.5 on durability). Early injects the intervener at round 2, immediately after first amplification; Late at round 6, after a local majority (≥ 3 of 5 citizens endorsing) is established.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 Both a fixed-round and a majority-triggered variant are implemented; the majority variant carries a latest-entry backstop so a cell where no majority forms does not silently become a second control.</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model families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GPT-4o-mini class, Claude Haiku class, Llama-3.1-8B-Instruct, Qwen-2.5-7B-Instruct (final list fixed at Week 4). Citizens only; judges held constant.</w:t>
            </w:r>
          </w:p>
        </w:tc>
      </w:tr>
    </w:tbl>
    <w:p>
      <w:pPr>
        <w:spacing w:after="140" w:line="276"/>
      </w:pPr>
      <w:r>
        <w:t xml:space="preserve">This yields a 2 × 2 × 4 grid plus a per-model control — 20 cells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the placebo arm needs an intervener that can decline to act</w:t>
            </w:r>
          </w:p>
          <w:p>
            <w:pPr>
              <w:spacing w:after="60" w:line="260"/>
            </w:pPr>
            <w:r>
              <w:rPr>
                <w:rFonts w:ascii="Calibri" w:cs="Calibri" w:eastAsia="Calibri" w:hAnsi="Calibri"/>
                <w:color w:val="1A1A1A"/>
                <w:sz w:val="20"/>
                <w:szCs w:val="20"/>
              </w:rPr>
              <w:t xml:space="preserve">As written, the Devil's Advocate is stipulated to challenge whatever claim it is pointed at. Run that against a true claim and it suppresses it by construction — so the specificity measure reports the wiring, not a property of the intervention, and RQ5 cannot come out any way but badly.</w:t>
            </w:r>
          </w:p>
          <w:p>
            <w:pPr>
              <w:spacing w:after="60" w:line="260"/>
            </w:pPr>
            <w:r>
              <w:rPr>
                <w:rFonts w:ascii="Calibri" w:cs="Calibri" w:eastAsia="Calibri" w:hAnsi="Calibri"/>
                <w:color w:val="1A1A1A"/>
                <w:sz w:val="20"/>
                <w:szCs w:val="20"/>
              </w:rPr>
              <w:t xml:space="preserve">The intervener now judges the claim's veracity once per episode and stays silent if it judges it sound. Its sensitivity and false-alarm rate are logged as first-class quantities, because the specificity of the intervention is bounded by the specificity of the intervener. With a real backbone the model's own reading of the claim supplies this judgement; in the reference implementation they are declared parameters.</w:t>
            </w:r>
          </w:p>
          <w:p>
            <w:pPr>
              <w:spacing w:after="60" w:line="260"/>
            </w:pPr>
            <w:r>
              <w:rPr>
                <w:rFonts w:ascii="Calibri" w:cs="Calibri" w:eastAsia="Calibri" w:hAnsi="Calibri"/>
                <w:color w:val="1A1A1A"/>
                <w:sz w:val="20"/>
                <w:szCs w:val="20"/>
              </w:rPr>
              <w:t xml:space="preserve">The consequence for analysis is in §8: pooled across all treated placebo episodes the contrast is null (p = 0.71), because episodes where the intervener correctly held its fire average out the ones where it did not. Conditional on it having fired, unwarranted challenges against true claims roughly double (+0.065, p = 0.002). The conditional contrast is now preregistered alongside the pooled one.</w:t>
            </w:r>
          </w:p>
        </w:tc>
      </w:tr>
    </w:tbl>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                              # v2.1, see §5.3</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p>
      <w:pPr>
        <w:spacing w:after="140" w:line="276"/>
      </w:pPr>
      <w:r>
        <w:rPr>
          <w:rFonts w:ascii="Calibri" w:cs="Calibri" w:eastAsia="Calibri" w:hAnsi="Calibri"/>
          <w:i/>
          <w:iCs/>
          <w:color w:val="5A5A5A"/>
          <w:sz w:val="21"/>
          <w:szCs w:val="21"/>
        </w:rPr>
        <w:t xml:space="preserve">In the reference implementation the two arms are matched to within one token across the whole claim pool, with the payload surviving verbatim in both (Jaccard overlap 1.0). The check runs before any grid execution and blocks the run if it fails.</w:t>
      </w:r>
    </w:p>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(revised v2.2)</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the veracity component, Σ γ·V_i. SECONDARY: conformity, challenge cost and reputation cost, each reported beside it; Σπ in full is reported but never argued from.</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8, 16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epistemic welfare had to be redefined</w:t>
            </w:r>
          </w:p>
          <w:p>
            <w:pPr>
              <w:spacing w:after="60" w:line="260"/>
            </w:pPr>
            <w:r>
              <w:rPr>
                <w:rFonts w:ascii="Calibri" w:cs="Calibri" w:eastAsia="Calibri" w:hAnsi="Calibri"/>
                <w:color w:val="1A1A1A"/>
                <w:sz w:val="20"/>
                <w:szCs w:val="20"/>
              </w:rPr>
              <w:t xml:space="preserve">Σπ as specified in v2.0 ranks every working intervention far below doing nothing. Reputation damage accounts for ~88% of all debits in treated arms, and the intervener's entire function is to generate the challenges that cause it. In the reference run the no-intervener control scores −26.5 while the best-performing intervention — the one that cuts propagation most and raises peer correction most — scores −152.7.</w:t>
            </w:r>
          </w:p>
          <w:p>
            <w:pPr>
              <w:spacing w:after="60" w:line="260"/>
            </w:pPr>
            <w:r>
              <w:rPr>
                <w:rFonts w:ascii="Calibri" w:cs="Calibri" w:eastAsia="Calibri" w:hAnsi="Calibri"/>
                <w:color w:val="1A1A1A"/>
                <w:sz w:val="20"/>
                <w:szCs w:val="20"/>
              </w:rPr>
              <w:t xml:space="preserve">This is not an implementation error. The ledger matches §3.2 exactly and is checked against hand-computed episodes. It is a specification problem: the measure is mechanically anti-correlated with the treatment, so the welfare result is determined before any agent acts. Sweeping the accounting convention does not rescue it — three conventions were implemented and all three preserve the ordering, because sanction costs are deadweight in the aggregate however they are counted.</w:t>
            </w:r>
          </w:p>
          <w:p>
            <w:pPr>
              <w:spacing w:after="60" w:line="260"/>
            </w:pPr>
            <w:r>
              <w:rPr>
                <w:rFonts w:ascii="Calibri" w:cs="Calibri" w:eastAsia="Calibri" w:hAnsi="Calibri"/>
                <w:color w:val="1A1A1A"/>
                <w:sz w:val="20"/>
                <w:szCs w:val="20"/>
              </w:rPr>
              <w:t xml:space="preserve">The first fix was the standard one in experimental public-goods work, where welfare is reported both with and without punishment costs (Fehr &amp; Gächter, 2002).</w:t>
            </w:r>
          </w:p>
          <w:p>
            <w:pPr>
              <w:spacing w:after="60" w:line="260"/>
            </w:pPr>
            <w:r>
              <w:rPr>
                <w:rFonts w:ascii="Calibri" w:cs="Calibri" w:eastAsia="Calibri" w:hAnsi="Calibri"/>
                <w:b/>
                <w:bCs/>
                <w:color w:val="1A1A1A"/>
                <w:sz w:val="21"/>
                <w:szCs w:val="21"/>
              </w:rPr>
              <w:t xml:space="preserve">v2.2: removing sanctions is necessary but not sufficient. </w:t>
            </w:r>
            <w:r>
              <w:rPr>
                <w:rFonts w:ascii="Calibri" w:cs="Calibri" w:eastAsia="Calibri" w:hAnsi="Calibri"/>
                <w:color w:val="1A1A1A"/>
                <w:sz w:val="21"/>
                <w:szCs w:val="21"/>
              </w:rPr>
              <w:t xml:space="preserve">Once the visibility model was corrected (section 5.2) and neighbourhoods became denser, the conformity term grew from roughly 35 points to roughly 90 and swamped everything else — and the CONTROL arm maximises conformity, because an unchallenged claim produces unanimity. Accuracy-plus-conformity therefore reverses and favours doing nothing again (control 67.7 against 62.2 for early empathetic).</w:t>
            </w:r>
          </w:p>
          <w:p>
            <w:pPr>
              <w:spacing w:after="60" w:line="260"/>
            </w:pPr>
            <w:r>
              <w:rPr>
                <w:rFonts w:ascii="Calibri" w:cs="Calibri" w:eastAsia="Calibri" w:hAnsi="Calibri"/>
                <w:color w:val="1A1A1A"/>
                <w:sz w:val="20"/>
                <w:szCs w:val="20"/>
              </w:rPr>
              <w:t xml:space="preserve">The veracity component is the only part of the payoff whose sign is stable across both visibility models: intervention beats control on accuracy under each (−27.4 against −30.0). That is the epistemically meaningful quantity. Conformity is a private engagement payoff, not a measure of how well-informed the society is, and summing it into a welfare figure was a smaller version of the original mistake.</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pollution half-life had to be replaced</w:t>
            </w:r>
          </w:p>
          <w:p>
            <w:pPr>
              <w:spacing w:after="60" w:line="260"/>
            </w:pPr>
            <w:r>
              <w:rPr>
                <w:rFonts w:ascii="Calibri" w:cs="Calibri" w:eastAsia="Calibri" w:hAnsi="Calibri"/>
                <w:color w:val="1A1A1A"/>
                <w:sz w:val="20"/>
                <w:szCs w:val="20"/>
              </w:rPr>
              <w:t xml:space="preserve">Half-life as defined (FPR below 0.2, sustained) is reached in 10 of 480 treated episodes — 97.9% censoring. Kaplan–Meier medians are undefined in both tone arms and the log-rank test underlying H2 runs on ten events.</w:t>
            </w:r>
          </w:p>
          <w:p>
            <w:pPr>
              <w:spacing w:after="60" w:line="260"/>
            </w:pPr>
            <w:r>
              <w:rPr>
                <w:rFonts w:ascii="Calibri" w:cs="Calibri" w:eastAsia="Calibri" w:hAnsi="Calibri"/>
                <w:color w:val="1A1A1A"/>
                <w:sz w:val="20"/>
                <w:szCs w:val="20"/>
              </w:rPr>
              <w:t xml:space="preserve">The cause is structural rather than parametric: the Disseminator reposts every round and is by construction incorrigible, so FPR has a floor that a short episode with a single intervener cannot push through. Tuning the threshold alone does not fix a measure whose event almost never occurs.</w:t>
            </w:r>
          </w:p>
          <w:p>
            <w:pPr>
              <w:spacing w:after="60" w:line="260"/>
            </w:pPr>
            <w:r>
              <w:rPr>
                <w:rFonts w:ascii="Calibri" w:cs="Calibri" w:eastAsia="Calibri" w:hAnsi="Calibri"/>
                <w:color w:val="1A1A1A"/>
                <w:sz w:val="20"/>
                <w:szCs w:val="20"/>
              </w:rPr>
              <w:t xml:space="preserve">Area under the post-intervention FPR curve uses every round of every episode, has no censoring, and answers the same question — how much pollution the intervention actually prevented. The relative-threshold survival analysis is kept as a secondary, and T is extended from 12 to 16 rounds to give late-arm episodes room to resolve.</w:t>
            </w:r>
          </w:p>
        </w:tc>
      </w:tr>
    </w:tbl>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notes carried back into the plan.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is the sharp one and it is not free — nothing in the payoff function lets a claim's veracity influence behaviour before resolution, so an additional novelty channel is required, consistent with Vosoughi et al.'s own attribution of the asymmetry to novelty and arousal rather than to veracity as such. The gate demonstrably discriminates: with that channel the margin is +0.113 and the gate passes 6 of 6 seeds; without it the margin is +0.002 and it fails 5 of 6.</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now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all seeds pinned; every episode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v2.1 replaces the flat 30-seeds-everywhere protocol with a two-tier design.</w:t>
      </w:r>
      <w:r>
        <w:rPr>
          <w:rFonts w:ascii="Calibri" w:cs="Calibri" w:eastAsia="Calibri" w:hAnsi="Calibri"/>
          <w:color w:val="1A1A1A"/>
          <w:sz w:val="21"/>
          <w:szCs w:val="21"/>
        </w:rPr>
        <w:t xml:space="preserve"> The core grid stays at 30 seeds because that is enough for the contrasts it is there to serve — intervention versus control, and the cross-model comparison of H5. A focused arm at 150 seeds covers the two contrasts the core grid cannot power. Spending uniformly would have cost five times as much to buy power where it was already sufficient.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1310"/>
        <w:gridCol w:w="1310"/>
        <w:gridCol w:w="1310"/>
        <w:gridCol w:w="3528"/>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(2×2×4 + 4 controls)</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(d ≈ 0.80, needs ≈ 26); H5 model dependence; all descriptive cell means</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Focused arm (2 timing × 2 tone × 2 backbones + 2 controls)</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 timing → FPR (needs ≈ 105) and H3 tone → EPC (needs ≈ 259). Backbones chosen in the Month-2 pilot as the two most responsive.</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 Doubled from v2.0 because only ~13% of treated placebo episodes carry a false alarm.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2,780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2.6× the v2.0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Cost, stated plainly</w:t>
            </w:r>
          </w:p>
          <w:p>
            <w:pPr>
              <w:spacing w:after="60" w:line="260"/>
            </w:pPr>
            <w:r>
              <w:rPr>
                <w:rFonts w:ascii="Calibri" w:cs="Calibri" w:eastAsia="Calibri" w:hAnsi="Calibri"/>
                <w:color w:val="1A1A1A"/>
                <w:sz w:val="20"/>
                <w:szCs w:val="20"/>
              </w:rPr>
              <w:t xml:space="preserve">At T = 16 rounds and seven agents, 2,780 episodes is roughly 310K agent calls plus judging — about 2.7× the v2.0 estimate of 130K. On the plan's own lite-model pricing that is approximately US$1,100–2,200, roughly halved again by batch endpoints. It remains self-funded and requires no lab funding, but it is a real increase and should not be buried.</w:t>
            </w:r>
          </w:p>
          <w:p>
            <w:pPr>
              <w:spacing w:after="60" w:line="260"/>
            </w:pPr>
            <w:r>
              <w:rPr>
                <w:rFonts w:ascii="Calibri" w:cs="Calibri" w:eastAsia="Calibri" w:hAnsi="Calibri"/>
                <w:color w:val="1A1A1A"/>
                <w:sz w:val="20"/>
                <w:szCs w:val="20"/>
              </w:rPr>
              <w:t xml:space="preserve">A pre-declared reduction ladder, applied in this order if the budget binds: (1) drop the focused arm to a single backbone (−750 episodes); (2) drop the core grid from four backbones to three (−150, and H5 weakens); (3) drop Ablation 2 to two ratios (−60). H3 and H1 power is protected last, because a study that cannot test its headline hypothesis has no reason to run.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de-identification is harder than it looks, and is now a tested property</w:t>
            </w:r>
          </w:p>
          <w:p>
            <w:pPr>
              <w:spacing w:after="60" w:line="260"/>
            </w:pPr>
            <w:r>
              <w:rPr>
                <w:rFonts w:ascii="Calibri" w:cs="Calibri" w:eastAsia="Calibri" w:hAnsi="Calibri"/>
                <w:color w:val="1A1A1A"/>
                <w:sz w:val="20"/>
                <w:szCs w:val="20"/>
              </w:rPr>
              <w:t xml:space="preserve">Replacing names from LIAR's speaker column is not sufficient: it removes the person who made each statement, but statements overwhelmingly refer to other public figures, and those survive. Measured leakage on that approach is 5.8% of statements.</w:t>
            </w:r>
          </w:p>
          <w:p>
            <w:pPr>
              <w:spacing w:after="60" w:line="260"/>
            </w:pPr>
            <w:r>
              <w:rPr>
                <w:rFonts w:ascii="Calibri" w:cs="Calibri" w:eastAsia="Calibri" w:hAnsi="Calibri"/>
                <w:color w:val="1A1A1A"/>
                <w:sz w:val="20"/>
                <w:szCs w:val="20"/>
              </w:rPr>
              <w:t xml:space="preserve">Adding a surname pass drives leakage to zero but over-corrects badly, because roughly a third of LIAR's speaker column is organisations, PACs and newspapers rather than people — taking their last token as a surname turns "the big Wall Street banks" into three stacked generic attributions and destroys the claim. Filtering organisation-shaped speakers gives 0.00% residual leakage at 11% of tokens replaced, with ordinary noun phrases intact.</w:t>
            </w:r>
          </w:p>
          <w:p>
            <w:pPr>
              <w:spacing w:after="60" w:line="260"/>
            </w:pPr>
            <w:r>
              <w:rPr>
                <w:rFonts w:ascii="Calibri" w:cs="Calibri" w:eastAsia="Calibri" w:hAnsi="Calibri"/>
                <w:color w:val="1A1A1A"/>
                <w:sz w:val="20"/>
                <w:szCs w:val="20"/>
              </w:rPr>
              <w:t xml:space="preserve">Both directions are now enforced by tests rather than left as an intention, because both failures are silent: the first leaks names into agent-visible text, the second feeds the agents nonsense and would degrade every behavioural measure without ever raising an error.</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This is a change from an earlier plan to fork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Models. </w:t>
      </w:r>
      <w:r>
        <w:rPr>
          <w:rFonts w:ascii="Calibri" w:cs="Calibri" w:eastAsia="Calibri" w:hAnsi="Calibri"/>
          <w:color w:val="1A1A1A"/>
          <w:sz w:val="21"/>
          <w:szCs w:val="21"/>
        </w:rPr>
        <w:t xml:space="preserve">Four cost-efficient families as citizen backbones (F3). A separate, stronger judge model — distinct from every citizen backbone — for trace classification and manipulation checks, to avoid a model grading its own output. Open-weights citizens served via vLLM.</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107 tests including hand-computed payoff-ledger checks, and reproduces the full grid with one command. The 16-week schedule in §9 begins from that engine. Nothing in the game, metrics or analysis layers depends on which model — or whether any model — supplies the citizen policies, so swapping the four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and estimated on the focused arm rather than the core grid. A dissociation — aggressive tone lowering FPR while also lowering EPC — is the paper's central claim if it holds.</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w:t>
      </w:r>
      <w:r>
        <w:rPr>
          <w:rFonts w:ascii="Calibri" w:cs="Calibri" w:eastAsia="Calibri" w:hAnsi="Calibri"/>
          <w:color w:val="1A1A1A"/>
          <w:sz w:val="21"/>
          <w:szCs w:val="21"/>
        </w:rPr>
        <w:t xml:space="preserve">Variance decomposition comparing between-model and between-condition effect sizes; three-way interaction test.</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(new in v2.1). </w:t>
      </w:r>
      <w:r>
        <w:rPr>
          <w:rFonts w:ascii="Calibri" w:cs="Calibri" w:eastAsia="Calibri" w:hAnsi="Calibri"/>
          <w:color w:val="1A1A1A"/>
          <w:sz w:val="21"/>
          <w:szCs w:val="21"/>
        </w:rPr>
        <w:t xml:space="preserve">The analysis plan now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four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four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NEW GATE: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focused arm, the placebo arm and both ablations (2,780 episodes).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2,780-episode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What v2.1 buys back. </w:t>
      </w:r>
      <w:r>
        <w:rPr>
          <w:rFonts w:ascii="Calibri" w:cs="Calibri" w:eastAsia="Calibri" w:hAnsi="Calibri"/>
          <w:color w:val="1A1A1A"/>
          <w:sz w:val="21"/>
          <w:szCs w:val="21"/>
        </w:rPr>
        <w:t xml:space="preserve">Because the engine already exists and is tested, Month 1 is a hardening-and-porting month rather than a build-from-scratch month, which is what makes the larger grid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(new in v2.1). </w:t>
      </w:r>
      <w:r>
        <w:rPr>
          <w:rFonts w:ascii="Calibri" w:cs="Calibri" w:eastAsia="Calibri" w:hAnsi="Calibri"/>
          <w:color w:val="1A1A1A"/>
          <w:sz w:val="21"/>
          <w:szCs w:val="21"/>
        </w:rPr>
        <w:t xml:space="preserve">Every artefact records whether it came from the real corpora or from surrogate generators, and whether citizen policies were language models or an analytic stand-in. A run that used neither real data nor real models cannot be presented as a model benchmark, because the label travels with the file. This is an ethics property, not merely hygiene: publishing surrogate numbers as an LLM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specificity arm. Prior work cited as motivation and calibration, never omitted.</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cannot detect its own headline effect</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realised risk in v2.0, now mitigated by the two-tier protocol (§5.9) and the Week-8 power gate (§9). Any contrast still under-powered at its allocated sample is declared exploratory before the grid runs.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Also realised in v2.0, for epistemic welfare and for pollution half-life. Both are redefined in §5.5, and the rule going forward is that every primary measure is computed on pilot data and inspected for floor, ceiling and censoring effects before the preregistration is filed.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now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after the v2.1 grid increase</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Lite models, batched async calls, response caching, per-cell cost ceilings, and the pre-declared reduction ladder in §5.9 — which protects H1 and H3 power last, since a study that cannot test its headline hypothesis has no reason to run.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v2.1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2026-09-11T14:04:33.261Z</dcterms:created>
  <dcterms:modified xsi:type="dcterms:W3CDTF">2026-09-11T14:04:33.266Z</dcterms:modified>
</cp:coreProperties>
</file>

<file path=docProps/custom.xml><?xml version="1.0" encoding="utf-8"?>
<Properties xmlns="http://schemas.openxmlformats.org/officeDocument/2006/custom-properties" xmlns:vt="http://schemas.openxmlformats.org/officeDocument/2006/docPropsVTypes"/>
</file>