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5A5A"/>
          <w:sz w:val="20"/>
          <w:szCs w:val="20"/>
        </w:rPr>
        <w:t xml:space="preserve">PROJECT PLAN</w:t>
      </w:r>
    </w:p>
    <w:p>
      <w:pPr>
        <w:spacing w:after="60"/>
      </w:pPr>
      <w:r>
        <w:rPr>
          <w:rFonts w:ascii="Calibri" w:cs="Calibri" w:eastAsia="Calibri" w:hAnsi="Calibri"/>
          <w:b/>
          <w:bCs/>
          <w:color w:val="1F4E79"/>
          <w:sz w:val="40"/>
          <w:szCs w:val="40"/>
        </w:rPr>
        <w:t xml:space="preserve">NudgeSim: Who Pays to Correct?</w:t>
      </w:r>
    </w:p>
    <w:p>
      <w:pPr>
        <w:spacing w:after="160"/>
      </w:pPr>
      <w:r>
        <w:rPr>
          <w:rFonts w:ascii="Calibri" w:cs="Calibri" w:eastAsia="Calibri" w:hAnsi="Calibri"/>
          <w:b/>
          <w:bCs/>
          <w:color w:val="1F4E79"/>
          <w:sz w:val="26"/>
          <w:szCs w:val="26"/>
        </w:rPr>
        <w:t xml:space="preserve">Timing, Tone, and the Second-Order Dilemma of Counter-Misinformation in LLM Agent Societies</w:t>
      </w:r>
    </w:p>
    <w:p>
      <w:pPr>
        <w:spacing w:after="240" w:line="276"/>
      </w:pPr>
      <w:r>
        <w:rPr>
          <w:rFonts w:ascii="Calibri" w:cs="Calibri" w:eastAsia="Calibri" w:hAnsi="Calibri"/>
          <w:i/>
          <w:iCs/>
          <w:color w:val="5A5A5A"/>
          <w:sz w:val="21"/>
          <w:szCs w:val="21"/>
        </w:rPr>
        <w:t xml:space="preserve">A payoff-grounded, preregistered multi-agent testbed for evaluating when and how an embedded AI intervener shifts an agent society from free-riding on unverified content toward costly peer correction.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7459"/>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Field</w:t>
            </w:r>
          </w:p>
        </w:tc>
        <w:tc>
          <w:tcPr>
            <w:tcW w:type="dxa" w:w="745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Details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by</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Jihyung Kim — Lecturer, Dept. of AI Convergence, Sahmyook University; M.C.S., University of Illinois Urbana-Champaign (2026)</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Prepared for</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Pre-PhD Research Project application — Prof. Zhijing Jin, University of Toronto / Max Planck Institute / Vector Institute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Proposed collaboration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First-authored paper by the candidate, with Prof. Jin as senior/advising author</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Research area</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Multi-agent LLM safety · social dilemmas and cooperation · counter-misinformation intervention design</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Duration</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months (16 weeks) from project start, with a named follow-on phase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w:t>
            </w:r>
          </w:p>
        </w:tc>
        <w:tc>
          <w:tcPr>
            <w:tcW w:type="dxa" w:w="745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Open framework v1.0 + arXiv preprint + workshop paper; main-track submission is the designated immediate follow-on, not an in-scope promise</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Date / version</w:t>
            </w:r>
          </w:p>
        </w:tc>
        <w:tc>
          <w:tcPr>
            <w:tcW w:type="dxa" w:w="7459"/>
            <w:shd w:fill="FDF3E7"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September 2026 · v2.2 — revised against a working reference implementation run on the real LIAR and PHEME-9 corpora (living document — comments welcome)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0. What changed in v2.2, and why</w:t>
      </w:r>
    </w:p>
    <w:p>
      <w:pPr>
        <w:spacing w:after="140" w:line="276"/>
      </w:pPr>
      <w:r>
        <w:rPr>
          <w:rFonts w:ascii="Calibri" w:cs="Calibri" w:eastAsia="Calibri" w:hAnsi="Calibri"/>
          <w:color w:val="1A1A1A"/>
          <w:sz w:val="21"/>
          <w:szCs w:val="21"/>
        </w:rPr>
        <w:t xml:space="preserve">The design was implemented end to end and run over the full preregistered grid — 1,080 episodes on the real LIAR corpus and all 6,425 real PHEME-9 threads — using an analytic surrogate policy in place of LLM backbones. The purpose was not to obtain results (a surrogate cannot produce results about language models) but to find out whether the protocol, as written, can answer the questions it asks. </w:t>
      </w:r>
      <w:r>
        <w:rPr>
          <w:rFonts w:ascii="Calibri" w:cs="Calibri" w:eastAsia="Calibri" w:hAnsi="Calibri"/>
          <w:b/>
          <w:bCs/>
          <w:color w:val="1A1A1A"/>
          <w:sz w:val="21"/>
          <w:szCs w:val="21"/>
        </w:rPr>
        <w:t xml:space="preserve">It cannot, in five specific ways.</w:t>
      </w:r>
      <w:r>
        <w:rPr>
          <w:rFonts w:ascii="Calibri" w:cs="Calibri" w:eastAsia="Calibri" w:hAnsi="Calibri"/>
          <w:color w:val="1A1A1A"/>
          <w:sz w:val="21"/>
          <w:szCs w:val="21"/>
        </w:rPr>
        <w:t xml:space="preserve"> Each is fixed below; each fix is traceable to evidence in the reference implementation. v2.1 fixed the first four, found against real LIAR; v2.2 adds the fifth and a correction to the second, both of which only surfaced once the real PHEME release was in hand.</w:t>
      </w:r>
    </w:p>
    <w:p>
      <w:pPr>
        <w:spacing w:after="200" w:line="276"/>
      </w:pPr>
      <w:r>
        <w:rPr>
          <w:rFonts w:ascii="Calibri" w:cs="Calibri" w:eastAsia="Calibri" w:hAnsi="Calibri"/>
          <w:i/>
          <w:iCs/>
          <w:color w:val="5A5A5A"/>
          <w:sz w:val="21"/>
          <w:szCs w:val="21"/>
        </w:rPr>
        <w:t xml:space="preserve">This is the cheapest possible moment to discover these. Three of the four would have surfaced only in Week 14, during analysis, with the compute budget already spent.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310"/>
        <w:gridCol w:w="3024"/>
        <w:gridCol w:w="4234"/>
        <w:gridCol w:w="1512"/>
      </w:tblGrid>
      <w:tr>
        <w:trPr>
          <w:tblHeader/>
        </w:trPr>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Problem in v2.0</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Revision in v2.1</w:t>
            </w:r>
          </w:p>
        </w:tc>
        <w:tc>
          <w:tcPr>
            <w:tcW w:type="dxa" w:w="151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Evidence</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5.9, 8</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 seeds/cell powers only one of the five primary contrasts. The headline hypothesis H3 needs ~259 seeds/cell; H1 needs ~105.</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Two-tier design: a 30-seed confirmatory grid for contrasts that it powers, plus a focused 300-seed arm for the tone contrast. Grid grows to 2,280 episodes, not 6,000.</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Power analysis over 1,080 episodes; detection validated at 200 seeds and null-DGP specificity confirmed.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 Σπ ranks every working intervention far below doing nothing, because δ-damage is deadweight and generating it is the intervener's function.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welfare is now accuracy + conformity, with sanction costs reported separately — the standard treatment in experimental public-goods work.</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Control −26.5 vs best intervention −152.7 on Σπ; the ordering reverses once sanctions are separated.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5.3, 5.5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placebo arm cannot test specificity, because the intervener is stipulated to challenge whatever it is shown.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intervener judges veracity first and may decline. Its false-alarm rate is logged, and the specificity contrast is preregistered conditional on it having fired.</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Pooled contrast null (p = 0.71); conditional on firing, false corrections double (+0.065, p = 0.002).</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Pollution half-life (FPR &lt; 0.2, sustained) is unreachable in 12 rounds against a persistent disseminator.</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is now area-under-FPR, with a relative-threshold survival analysis as secondary and T extended to 16.</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97.9% censoring — 10 of 480 treated episodes reach the threshold.</w:t>
            </w:r>
          </w:p>
        </w:tc>
      </w:tr>
      <w:tr>
        <w:trPr>
          <w:tblHeader w:val="false"/>
        </w:trPr>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network position is unspecified, so treatment strength varies silently.</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Placement declared (highest-degree non-root); reach logged as a covariate.</w:t>
            </w:r>
          </w:p>
        </w:tc>
        <w:tc>
          <w:tcPr>
            <w:tcW w:type="dxa" w:w="151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Reach ranges 0–5 citizens; ρ = 0.34 with EPC.</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5.2 (new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reply tree is used as the visibility graph. Against real PHEME this makes 69% of motifs broadcast stars, in which no local majority can form and no citizen can observe another correcting — the study's central mechanism, absent from 89% of real topologies.</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Visibility is modelled as bounded attention: an agent sees the source plus the replies adjacent to its own in thread display order. No motif is a star, none is a clique, no thread is discarded.</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89% of real motifs had no citizen-to-citizen edge; 0% after. Intervention → EPC strengthens from d = 0.69 to 0.93.</w:t>
            </w:r>
          </w:p>
        </w:tc>
      </w:tr>
      <w:tr>
        <w:trPr>
          <w:tblHeader w:val="false"/>
        </w:trPr>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5.5 (revised in v2.2)</w:t>
            </w:r>
          </w:p>
        </w:tc>
        <w:tc>
          <w:tcPr>
            <w:tcW w:type="dxa" w:w="302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Welfare excluding sanctions still mixes accuracy with conformity, and conformity is maximised by the control arm.</w:t>
            </w:r>
          </w:p>
        </w:tc>
        <w:tc>
          <w:tcPr>
            <w:tcW w:type="dxa" w:w="4234"/>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is the veracity component alone; conformity and sanction costs are reported beside it.</w:t>
            </w:r>
          </w:p>
        </w:tc>
        <w:tc>
          <w:tcPr>
            <w:tcW w:type="dxa" w:w="1512"/>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Under denser neighbourhoods conformity grows to ~90 points and reverses the ordering; accuracy is the only component stable in sign.</w:t>
            </w:r>
          </w:p>
        </w:tc>
      </w:tr>
    </w:tbl>
    <w:p>
      <w:pPr>
        <w:spacing w:after="120" w:line="276"/>
      </w:pPr>
      <w:r>
        <w:rPr>
          <w:rFonts w:ascii="Calibri" w:cs="Calibri" w:eastAsia="Calibri" w:hAnsi="Calibri"/>
          <w:i/>
          <w:iCs/>
          <w:color w:val="5A5A5A"/>
          <w:sz w:val="21"/>
          <w:szCs w:val="21"/>
        </w:rPr>
        <w:t xml:space="preserve">Nothing in the contribution claim (§2), the theoretical framing (§3), or the ethics position (§11) changes. The revisions are to measurement and sample size — that is, to whether the study can see what it is looking for.</w:t>
      </w:r>
    </w:p>
    <w:p>
      <w:pPr>
        <w:pStyle w:val="Heading1"/>
        <w:pBdr>
          <w:bottom w:val="single" w:color="C9D6E4" w:sz="6" w:space="6"/>
        </w:pBdr>
        <w:spacing w:after="160" w:before="360"/>
      </w:pPr>
      <w:r>
        <w:rPr>
          <w:rFonts w:ascii="Calibri" w:cs="Calibri" w:eastAsia="Calibri" w:hAnsi="Calibri"/>
          <w:b/>
          <w:bCs/>
          <w:color w:val="1F4E79"/>
          <w:sz w:val="32"/>
          <w:szCs w:val="32"/>
        </w:rPr>
        <w:t xml:space="preserve">1. Project Summary</w:t>
      </w:r>
    </w:p>
    <w:p>
      <w:pPr>
        <w:spacing w:after="140" w:line="276"/>
      </w:pPr>
      <w:r>
        <w:t xml:space="preserve">Accurate information in a social network is a public good: verifying a claim is privately costly, while a less-polluted feed benefits everyone. Sharing engaging but unverified content is therefore a form of free-riding, and correcting someone else's false claim is costly peer sanctioning — which reintroduces the classic second-order free-rider problem: everyone wants the network corrected, nobody wants to pay to correct it.</w:t>
      </w:r>
    </w:p>
    <w:p>
      <w:pPr>
        <w:spacing w:after="140" w:line="276"/>
      </w:pPr>
      <w:r>
        <w:t xml:space="preserve">NudgeSim places an embedded AI intervener inside exactly this dilemma. We build a seven-agent LLM society — five citizens with explicit per-round payoffs, one malicious disseminator, and one "Devil's Advocate" intervener that is exogenously willing to absorb the verification cost — seeded with human-vetted false claims from LIAR and wired according to real rumor-cascade topologies from PHEME. Citizens choose among SHARE, ENDORSE, CHALLENGE, and IGNORE under a payoff function that pays an immediate conformity reward, a delayed veracity reward, and charges a cost for challenging.</w:t>
      </w:r>
    </w:p>
    <w:p>
      <w:pPr>
        <w:spacing w:after="140" w:line="276"/>
      </w:pPr>
      <w:r>
        <w:t xml:space="preserve">The design crosses intervention timing (early vs. late) × intervention tone (empathetic nudge vs. aggressive debunking) × citizen backbone model (four model families), against a no-intervener control, a true-claim placebo arm, and two theoretically motivated ablations. The headline outcome is not what agents say they believe. It is what they pay for: the rate at which citizens voluntarily absorb the challenge cost themselves once an intervener is present — whether an exogenous sanctioner catalyzes or crowds out endogenous peer correction.</w:t>
      </w:r>
    </w:p>
    <w:p>
      <w:pPr>
        <w:spacing w:after="140" w:line="276"/>
      </w:pPr>
      <w:r>
        <w:rPr>
          <w:rFonts w:ascii="Calibri" w:cs="Calibri" w:eastAsia="Calibri" w:hAnsi="Calibri"/>
          <w:color w:val="1A1A1A"/>
          <w:sz w:val="21"/>
          <w:szCs w:val="21"/>
        </w:rPr>
        <w:t xml:space="preserve">Deliverables: (i) a comparative benchmark of how four model families respond to intervention timing and tone under identical incentives; (ii) NudgeSim, an open, payoff-instrumented testbed released with a one-command reproduction script; and (iii) a preregistered manuscript, positioned for a social-agents workshop and an ICWSM/CSCW or ARR main-track submission. </w:t>
      </w:r>
      <w:r>
        <w:rPr>
          <w:rFonts w:ascii="Calibri" w:cs="Calibri" w:eastAsia="Calibri" w:hAnsi="Calibri"/>
          <w:b/>
          <w:bCs/>
          <w:color w:val="1A1A1A"/>
          <w:sz w:val="21"/>
          <w:szCs w:val="21"/>
        </w:rPr>
        <w:t xml:space="preserve">A reference implementation of the framework already exists and is the basis for the v2.1 revisions; the 16-week plan therefore begins from a working engine rather than from scratch.</w:t>
      </w:r>
    </w:p>
    <w:p>
      <w:pPr>
        <w:pStyle w:val="Heading1"/>
        <w:pBdr>
          <w:bottom w:val="single" w:color="C9D6E4" w:sz="6" w:space="6"/>
        </w:pBdr>
        <w:spacing w:after="160" w:before="360"/>
      </w:pPr>
      <w:r>
        <w:rPr>
          <w:rFonts w:ascii="Calibri" w:cs="Calibri" w:eastAsia="Calibri" w:hAnsi="Calibri"/>
          <w:b/>
          <w:bCs/>
          <w:color w:val="1F4E79"/>
          <w:sz w:val="32"/>
          <w:szCs w:val="32"/>
        </w:rPr>
        <w:t xml:space="preserve">2. Positioning: What Is Already Done, and What Is Not</w:t>
      </w:r>
    </w:p>
    <w:p>
      <w:pPr>
        <w:spacing w:after="140" w:line="276"/>
      </w:pPr>
      <w:r>
        <w:t xml:space="preserve">This section is placed before the design because the single largest risk to the project is novelty overlap, and the plan is built around a defensible delta rather than a claim of priority.</w:t>
      </w:r>
    </w:p>
    <w:p>
      <w:pPr>
        <w:spacing w:after="140" w:line="276"/>
      </w:pPr>
      <w:r>
        <w:t xml:space="preserve">LLM-based counter-misinformation simulation is no longer an empty field. Most directly, MADD (Qiao, Li, Zhou &amp; Hu, Findings of EMNLP 2025; arXiv:2507.16848) simulates disinformation dissemination and correction across a 689-node LLM agent network with bot correctors, manipulating intervention timing at three levels (early / mid / late) and comparing fact-based versus narrative-based correction strategies against an unintervened control. CoSim (arXiv:2605.17353) compares four intervention types including accuracy prompts and fact checking, though it treats timing as an observed outcome rather than a manipulated factor. MOSAIC (arXiv:2504.07830) evaluates competing fact-checking regimes, and a non-cooperative opinion-polarisation game (arXiv:2502.11649) already reports that aggressive debunking can raise polarisation before it stabilises.</w:t>
      </w:r>
    </w:p>
    <w:p>
      <w:pPr>
        <w:spacing w:after="140" w:line="276"/>
      </w:pPr>
      <w:r>
        <w:t xml:space="preserve">A v1 framing of this project ("no one has crossed timing with tone") would therefore not survive review. The delta below is what remains genuinely open.</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3830"/>
        <w:gridCol w:w="4234"/>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Dimension</w:t>
            </w:r>
          </w:p>
        </w:tc>
        <w:tc>
          <w:tcPr>
            <w:tcW w:type="dxa" w:w="383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Closest prior work (MADD, CoSim, MOSAIC)</w:t>
            </w:r>
          </w:p>
        </w:tc>
        <w:tc>
          <w:tcPr>
            <w:tcW w:type="dxa" w:w="423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NudgeSim contribution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Incentive structure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Descriptive social simulation; agents have no explicit payoff and no equilibrium benchmark</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Explicit per-round payoff function; correction is a costly sanction in a public-goods game with a stated stage-game benchmark</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Design</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and strategy varied, but largely one at a time; no formal factorial or interaction test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Full timing × tone × model factorial with preregistered interaction contrasts and Dunnett tests against control</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Headline outcome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Propagation / belief-like endorsement of the false claim</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 whether citizens themselves start paying the challenge cost (second-order cooperation)</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axis</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Fact-based vs. narrative-based (an evidence-format contrast)</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 vs. aggressive debunking (a pragmatic-framing contrast, factual payload held constant)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Model coverage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Typically a single backbone (e.g. DeepSeek-V3)</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Four model families benchmarked under identical incentives; model-dependence of intervention effects is a first-class result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Specificity check</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Rarely tested</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True-claim placebo arm measures whether interveners induce indiscriminate skepticism — with a veracity-sensitive intervener, so the arm can actually fail (§5.3)</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Inference</w:t>
            </w:r>
          </w:p>
        </w:tc>
        <w:tc>
          <w:tcPr>
            <w:tcW w:type="dxa" w:w="383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Aggregate descriptive comparison</w:t>
            </w:r>
          </w:p>
        </w:tc>
        <w:tc>
          <w:tcPr>
            <w:tcW w:type="dxa" w:w="423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OSF preregistration, mixed-effects models, bootstrap CIs, Holm correction, effect sizes, and a pre-committed power analysis (§8)</w:t>
            </w:r>
          </w:p>
        </w:tc>
      </w:tr>
    </w:tbl>
    <w:p>
      <w:pPr>
        <w:spacing w:after="140" w:line="276"/>
      </w:pPr>
      <w:r>
        <w:t xml:space="preserve">The contribution claim is therefore stated as: prior work has observed that correction timing and framing matter; NudgeSim formalises the setting as a social dilemma, isolates the causal contribution of timing and tone under matched incentives, and asks the question the descriptive literature cannot — whether an AI intervener builds or erodes a community's own willingness to correct. MADD and CoSim are cited as motivation and as calibration references, not treated as absent.</w:t>
      </w:r>
    </w:p>
    <w:p>
      <w:pPr>
        <w:pStyle w:val="Heading1"/>
        <w:pBdr>
          <w:bottom w:val="single" w:color="C9D6E4" w:sz="6" w:space="6"/>
        </w:pBdr>
        <w:spacing w:after="160" w:before="360"/>
      </w:pPr>
      <w:r>
        <w:rPr>
          <w:rFonts w:ascii="Calibri" w:cs="Calibri" w:eastAsia="Calibri" w:hAnsi="Calibri"/>
          <w:b/>
          <w:bCs/>
          <w:color w:val="1F4E79"/>
          <w:sz w:val="32"/>
          <w:szCs w:val="32"/>
        </w:rPr>
        <w:t xml:space="preserve">3. Theoretical Framework: Information Sharing as a Public Goods Game with Costly Correction</w:t>
      </w:r>
    </w:p>
    <w:p>
      <w:pPr>
        <w:pStyle w:val="Heading2"/>
        <w:spacing w:after="120" w:before="280"/>
      </w:pPr>
      <w:r>
        <w:rPr>
          <w:rFonts w:ascii="Calibri" w:cs="Calibri" w:eastAsia="Calibri" w:hAnsi="Calibri"/>
          <w:b/>
          <w:bCs/>
          <w:color w:val="1F4E79"/>
          <w:sz w:val="26"/>
          <w:szCs w:val="26"/>
        </w:rPr>
        <w:t xml:space="preserve">3.1 Why formalise at all</w:t>
      </w:r>
    </w:p>
    <w:p>
      <w:pPr>
        <w:spacing w:after="140" w:line="276"/>
      </w:pPr>
      <w:r>
        <w:t xml:space="preserve">Descriptive agent simulations are hard to review because there is no benchmark against which "the agents behaved badly" means anything. Giving citizens an explicit payoff buys three things at once: a normative reference point (what a payoff-maximising agent should do), a set of behavioural dependent variables that do not require interpreting an LLM's self-reported beliefs, and direct comparability to human experimental economics, where the same dilemma has been run on people for two decades (Fehr &amp; Gächter, 2002; Gürerk, Irlenbusch &amp; Rockenbach, 2006).</w:t>
      </w:r>
    </w:p>
    <w:p>
      <w:pPr>
        <w:pStyle w:val="Heading2"/>
        <w:spacing w:after="120" w:before="280"/>
      </w:pPr>
      <w:r>
        <w:rPr>
          <w:rFonts w:ascii="Calibri" w:cs="Calibri" w:eastAsia="Calibri" w:hAnsi="Calibri"/>
          <w:b/>
          <w:bCs/>
          <w:color w:val="1F4E79"/>
          <w:sz w:val="26"/>
          <w:szCs w:val="26"/>
        </w:rPr>
        <w:t xml:space="preserve">3.2 Action space and payoffs</w:t>
      </w:r>
    </w:p>
    <w:p>
      <w:pPr>
        <w:spacing w:after="140" w:line="276"/>
      </w:pPr>
      <w:r>
        <w:t xml:space="preserve">At each round t, every citizen i observes its local feed and takes one action on the focal claim m:</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a_i,t  ∈  { SHARE(m),  ENDORSE(m),  CHALLENGE(m),  IGNORE }</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π_i,t  =  β · C_i,t        # conformity / engagement reward  (immediate, certain)</w:t>
            </w:r>
          </w:p>
          <w:p>
            <w:pPr>
              <w:spacing w:after="0" w:line="240"/>
            </w:pPr>
            <w:r>
              <w:rPr>
                <w:rFonts w:ascii="Consolas" w:cs="Consolas" w:eastAsia="Consolas" w:hAnsi="Consolas"/>
                <w:color w:val="1A1A1A"/>
                <w:sz w:val="18"/>
                <w:szCs w:val="18"/>
              </w:rPr>
              <w:t xml:space="preserve">        + γ · V_i           # veracity reward                (deferred to episode end)</w:t>
            </w:r>
          </w:p>
          <w:p>
            <w:pPr>
              <w:spacing w:after="0" w:line="240"/>
            </w:pPr>
            <w:r>
              <w:rPr>
                <w:rFonts w:ascii="Consolas" w:cs="Consolas" w:eastAsia="Consolas" w:hAnsi="Consolas"/>
                <w:color w:val="1A1A1A"/>
                <w:sz w:val="18"/>
                <w:szCs w:val="18"/>
              </w:rPr>
              <w:t xml:space="preserve">        − κ · 1[a_i,t = CHALLENGE]   # verification + social-friction cost</w:t>
            </w:r>
          </w:p>
          <w:p>
            <w:pPr>
              <w:spacing w:after="0" w:line="240"/>
            </w:pPr>
            <w:r>
              <w:rPr>
                <w:rFonts w:ascii="Consolas" w:cs="Consolas" w:eastAsia="Consolas" w:hAnsi="Consolas"/>
                <w:color w:val="1A1A1A"/>
                <w:sz w:val="18"/>
                <w:szCs w:val="18"/>
              </w:rPr>
              <w:t xml:space="preserve">        − δ · D_i,t         # reputation damage when i's own endorsement is challenged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C_i,t = # neighbours whose visible stance this round matches a_i,t</w:t>
            </w:r>
          </w:p>
          <w:p>
            <w:pPr>
              <w:spacing w:after="0" w:line="240"/>
            </w:pPr>
            <w:r>
              <w:rPr>
                <w:rFonts w:ascii="Consolas" w:cs="Consolas" w:eastAsia="Consolas" w:hAnsi="Consolas"/>
                <w:color w:val="1A1A1A"/>
                <w:sz w:val="18"/>
                <w:szCs w:val="18"/>
              </w:rPr>
              <w:t xml:space="preserve">V_i   = (+1 per true claim endorsed) + (−1 per false claim endorsed), paid at t = 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Defaults: β = 1, γ = 6, κ = 2, δ = 3, T = 16   (all swept in robustness; see §5.9)</w:t>
            </w:r>
          </w:p>
        </w:tc>
      </w:tr>
    </w:tbl>
    <w:p>
      <w:pPr>
        <w:spacing w:after="140" w:line="276"/>
      </w:pPr>
      <w:r>
        <w:rPr>
          <w:rFonts w:ascii="Calibri" w:cs="Calibri" w:eastAsia="Calibri" w:hAnsi="Calibri"/>
          <w:b/>
          <w:bCs/>
          <w:color w:val="1A1A1A"/>
          <w:sz w:val="21"/>
          <w:szCs w:val="21"/>
        </w:rPr>
        <w:t xml:space="preserve">Accounting conventions, made explicit in v2.1.</w:t>
      </w:r>
      <w:r>
        <w:rPr>
          <w:rFonts w:ascii="Calibri" w:cs="Calibri" w:eastAsia="Calibri" w:hAnsi="Calibri"/>
          <w:color w:val="1A1A1A"/>
          <w:sz w:val="21"/>
          <w:szCs w:val="21"/>
        </w:rPr>
        <w:t xml:space="preserve"> Three details that §3.2 leaves implicit change the numbers materially and are now declared rather than left to the implementer: (i) C counts matching </w:t>
      </w:r>
      <w:r>
        <w:rPr>
          <w:rFonts w:ascii="Calibri" w:cs="Calibri" w:eastAsia="Calibri" w:hAnsi="Calibri"/>
          <w:i/>
          <w:iCs/>
          <w:color w:val="1A1A1A"/>
          <w:sz w:val="21"/>
          <w:szCs w:val="21"/>
        </w:rPr>
        <w:t xml:space="preserve">stance</w:t>
      </w:r>
      <w:r>
        <w:rPr>
          <w:rFonts w:ascii="Calibri" w:cs="Calibri" w:eastAsia="Calibri" w:hAnsi="Calibri"/>
          <w:color w:val="1A1A1A"/>
          <w:sz w:val="21"/>
          <w:szCs w:val="21"/>
        </w:rPr>
        <w:t xml:space="preserve">, so SHARE and ENDORSE are mutually conforming; (ii) V is charged once per distinct claim endorsed, not once per endorsing action; (iii) an agent that challenges a claim it previously endorsed has publicly retracted and takes no δ that round, whereas an agent that endorsed and then went </w:t>
      </w:r>
      <w:r>
        <w:rPr>
          <w:rFonts w:ascii="Calibri" w:cs="Calibri" w:eastAsia="Calibri" w:hAnsi="Calibri"/>
          <w:i/>
          <w:iCs/>
          <w:color w:val="1A1A1A"/>
          <w:sz w:val="21"/>
          <w:szCs w:val="21"/>
        </w:rPr>
        <w:t xml:space="preserve">silent</w:t>
      </w:r>
      <w:r>
        <w:rPr>
          <w:rFonts w:ascii="Calibri" w:cs="Calibri" w:eastAsia="Calibri" w:hAnsi="Calibri"/>
          <w:color w:val="1A1A1A"/>
          <w:sz w:val="21"/>
          <w:szCs w:val="21"/>
        </w:rPr>
        <w:t xml:space="preserve"> remains exposed. Each is a switch in the reference implementation, and each is unit-tested against hand-computed episodes.</w:t>
      </w:r>
    </w:p>
    <w:p>
      <w:pPr>
        <w:spacing w:after="140" w:line="276"/>
      </w:pPr>
      <w:r>
        <w:t xml:space="preserve">The mapping is deliberate. Accurate information is the public good. Verification is the contribution, privately costly and socially beneficial. Sharing engaging but unverified content is free-riding — it collects the conformity reward immediately at no verification cost, while the veracity penalty is deferred and uncertain. Challenging another agent is costly peer punishment, which creates the second-order dilemma that SanctSim studies in the public-goods setting: sanctioning sustains cooperation, but sanctioning is itself a contribution nobody is individually motivated to make.</w:t>
      </w:r>
    </w:p>
    <w:p>
      <w:pPr>
        <w:pStyle w:val="Heading2"/>
        <w:spacing w:after="120" w:before="280"/>
      </w:pPr>
      <w:r>
        <w:rPr>
          <w:rFonts w:ascii="Calibri" w:cs="Calibri" w:eastAsia="Calibri" w:hAnsi="Calibri"/>
          <w:b/>
          <w:bCs/>
          <w:color w:val="1F4E79"/>
          <w:sz w:val="26"/>
          <w:szCs w:val="26"/>
        </w:rPr>
        <w:t xml:space="preserve">3.3 The benchmark, and where the intervener enters</w:t>
      </w:r>
    </w:p>
    <w:p>
      <w:pPr>
        <w:spacing w:after="140" w:line="276"/>
      </w:pPr>
      <w:r>
        <w:t xml:space="preserve">With β &gt; 0, κ &gt; 0, and the veracity reward deferred to the end of the episode, the myopic stage-game best response for a citizen is to conform to the locally visible majority and never pay κ. Cumulative pollution should therefore be maximal in the no-intervener control, while the welfare-maximising profile requires someone to absorb κ. The Devil's Advocate is the one agent for whom paying κ is stipulated, not chosen.</w:t>
      </w:r>
    </w:p>
    <w:p>
      <w:pPr>
        <w:spacing w:after="140" w:line="276"/>
      </w:pPr>
      <w:r>
        <w:t xml:space="preserve">This turns a vague question ("does the AI help?") into a sharp one: does an exogenous sanctioner change whether citizens start paying κ themselves? Human experimental economics gives competing predictions. Institutional sanctioning can migrate a population toward cooperation (Gürerk et al., 2006), but external enforcement can also crowd out voluntary cooperation by reframing a normative act as a policed one (Fehr &amp; Rockenbach, 2003; Bowles, 2008). Whether tone determines which of these two regimes obtains is, to our knowledge, untested in either literature.</w:t>
      </w:r>
    </w:p>
    <w:p>
      <w:pPr>
        <w:spacing w:after="140" w:line="276"/>
      </w:pPr>
      <w:r>
        <w:t xml:space="preserve">The ratio β/γ has a direct platform-design reading: it is how much more a platform pays for engagement than for accuracy. Sweeping it is not a robustness afterthought but a policy-relevant second axis (§5.9).</w:t>
      </w:r>
    </w:p>
    <w:p>
      <w:pPr>
        <w:pStyle w:val="Heading1"/>
        <w:pBdr>
          <w:bottom w:val="single" w:color="C9D6E4" w:sz="6" w:space="6"/>
        </w:pBdr>
        <w:spacing w:after="160" w:before="360"/>
      </w:pPr>
      <w:r>
        <w:rPr>
          <w:rFonts w:ascii="Calibri" w:cs="Calibri" w:eastAsia="Calibri" w:hAnsi="Calibri"/>
          <w:b/>
          <w:bCs/>
          <w:color w:val="1F4E79"/>
          <w:sz w:val="32"/>
          <w:szCs w:val="32"/>
        </w:rPr>
        <w:t xml:space="preserve">4. Research Questions and Hypotheses</w:t>
      </w:r>
    </w:p>
    <w:p>
      <w:pPr>
        <w:spacing w:after="140" w:line="276"/>
      </w:pPr>
      <w:r>
        <w:t xml:space="preserve">Every primary hypothesis is stated over an action the agent takes and pays for, not over a belief it reports.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8870"/>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RQ</w:t>
            </w:r>
          </w:p>
        </w:tc>
        <w:tc>
          <w:tcPr>
            <w:tcW w:type="dxa" w:w="887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Question</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RQ1 (Timing)</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intervening before a local majority forms reduce cumulative propagation of the false claim relative to intervening after?</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RQ2 (Tone)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empathetic nudging or aggressive debunking produce more durable suppression, holding the factual payload constant?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RQ3 (Headline)</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catalyse or crowd out endogenous peer correction, and does tone determine which?</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RQ4 (Models)</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 the timing and tone effects replicate across model families, or is "the right way to intervene" backbone-specific?</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(Specificity)</w:t>
            </w:r>
          </w:p>
        </w:tc>
        <w:tc>
          <w:tcPr>
            <w:tcW w:type="dxa" w:w="887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Does the intervener also suppress true claims — i.e. does correction generalise into indiscriminate skepticism?</w:t>
            </w:r>
          </w:p>
        </w:tc>
      </w:tr>
    </w:tbl>
    <w:p>
      <w:pPr>
        <w:spacing w:after="140" w:line="276"/>
      </w:pPr>
      <w:r>
        <w:t xml:space="preserve"/>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907"/>
        <w:gridCol w:w="6149"/>
        <w:gridCol w:w="3024"/>
      </w:tblGrid>
      <w:tr>
        <w:trPr>
          <w:tblHeader/>
        </w:trPr>
        <w:tc>
          <w:tcPr>
            <w:tcW w:type="dxa" w:w="90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H</w:t>
            </w:r>
          </w:p>
        </w:tc>
        <w:tc>
          <w:tcPr>
            <w:tcW w:type="dxa" w:w="614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Statement</w:t>
            </w:r>
          </w:p>
        </w:tc>
        <w:tc>
          <w:tcPr>
            <w:tcW w:type="dxa" w:w="302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Confirmatory tier (v2.1, §5.9)</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intervention yields lower cumulative propagation than late intervention.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H2</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 produces faster initial suppression; empathetic nudging produces more durable suppression. Framed as a test between competing predictions, given the contested backfire literature.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H3</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nudging raises the endogenous peer-correction rate above control; aggressive debunking suppresses it below control, even where it lowers propagation.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focused arm (headline)</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H4</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Timing moderates tone: aggressive debunking is relatively more viable early, before positions are publicly committed and reputation damage is at stake.</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2 — exploratory</w:t>
            </w:r>
          </w:p>
        </w:tc>
      </w:tr>
      <w:tr>
        <w:trPr>
          <w:tblHeader w:val="false"/>
        </w:trPr>
        <w:tc>
          <w:tcPr>
            <w:tcW w:type="dxa" w:w="90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H5</w:t>
            </w:r>
          </w:p>
        </w:tc>
        <w:tc>
          <w:tcPr>
            <w:tcW w:type="dxa" w:w="614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Effect sizes differ across model families by more than they differ across timing conditions — i.e. backbone choice dominates intervention design.</w:t>
            </w:r>
          </w:p>
        </w:tc>
        <w:tc>
          <w:tcPr>
            <w:tcW w:type="dxa" w:w="302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Tier 1 — core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the hypotheses are now tiered</w:t>
            </w:r>
          </w:p>
          <w:p>
            <w:pPr>
              <w:spacing w:after="60" w:line="260"/>
            </w:pPr>
            <w:r>
              <w:rPr>
                <w:rFonts w:ascii="Calibri" w:cs="Calibri" w:eastAsia="Calibri" w:hAnsi="Calibri"/>
                <w:color w:val="1A1A1A"/>
                <w:sz w:val="20"/>
                <w:szCs w:val="20"/>
              </w:rPr>
              <w:t xml:space="preserve">The reference implementation shows that at 30 seeds/cell the core grid powers exactly one primary contrast (intervention vs control on EPC, d ≈ 0.80, n ≈ 26). H1 needs ~105 seeds/cell and H3 ~259. Declaring every hypothesis confirmatory at a sample that cannot test four of them is the kind of thing reviewers catch and preregistration is supposed to prevent.</w:t>
            </w:r>
          </w:p>
          <w:p>
            <w:pPr>
              <w:spacing w:after="60" w:line="260"/>
            </w:pPr>
            <w:r>
              <w:rPr>
                <w:rFonts w:ascii="Calibri" w:cs="Calibri" w:eastAsia="Calibri" w:hAnsi="Calibri"/>
                <w:color w:val="1A1A1A"/>
                <w:sz w:val="20"/>
                <w:szCs w:val="20"/>
              </w:rPr>
              <w:t xml:space="preserve">H3 is small for a structural reason worth stating in the manuscript: tone reaches peer correction through two opposing channels. An aggressive corrector displaces responsibility (lowering EPC) and also updates beliefs harder (raising it). The net is a difference of two larger quantities — precisely the shape of effect a small design cannot resolve.</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5. Experimental Design</w:t>
      </w:r>
    </w:p>
    <w:p>
      <w:pPr>
        <w:pStyle w:val="Heading2"/>
        <w:spacing w:after="120" w:before="280"/>
      </w:pPr>
      <w:r>
        <w:rPr>
          <w:rFonts w:ascii="Calibri" w:cs="Calibri" w:eastAsia="Calibri" w:hAnsi="Calibri"/>
          <w:b/>
          <w:bCs/>
          <w:color w:val="1F4E79"/>
          <w:sz w:val="26"/>
          <w:szCs w:val="26"/>
        </w:rPr>
        <w:t xml:space="preserve">5.1 Agent society (N = 7)</w:t>
      </w:r>
    </w:p>
    <w:p>
      <w:pPr>
        <w:spacing w:after="140" w:line="276"/>
      </w:pPr>
      <w:r>
        <w:t xml:space="preserve">Seven agents matches the scale at which the sanctioning dilemma has been studied in this literature and is large enough to produce genuine local-majority dynamics among five citizens. All citizens share identical scaffolding — same memory window, same action space, same payoff accounting — and differ only in persona prompts, so behavioural differences are attributable to persona and condition rather than architecture.</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218"/>
        <w:gridCol w:w="6250"/>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Agent</w:t>
            </w:r>
          </w:p>
        </w:tc>
        <w:tc>
          <w:tcPr>
            <w:tcW w:type="dxa" w:w="221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w:t>
            </w:r>
          </w:p>
        </w:tc>
        <w:tc>
          <w:tcPr>
            <w:tcW w:type="dxa" w:w="625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Behavioural policy</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A1, A2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Left-leaning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Payoff-maximising under a persona prior that raises the conformity reward for congruent claims.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Citizens B1, B2</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Right-leaning personas</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Mirror of A, with the opposite congruence prior.</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Citizen C</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Neutral conformist</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 ideological prior; responds to whichever signal dominates its neighbourhood.</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Disseminator</w:t>
            </w:r>
          </w:p>
        </w:tc>
        <w:tc>
          <w:tcPr>
            <w:tcW w:type="dxa" w:w="221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Bad actor (fixed policy)</w:t>
            </w:r>
          </w:p>
        </w:tc>
        <w:tc>
          <w:tcPr>
            <w:tcW w:type="dxa" w:w="625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Injects and re-frames false claims from the LIAR pool; not payoff-responsive, so it cannot be "corrected" and functions as a constant adversarial pressure.</w:t>
            </w:r>
          </w:p>
        </w:tc>
      </w:tr>
      <w:tr>
        <w:trPr>
          <w:tblHeader w:val="false"/>
        </w:trPr>
        <w:tc>
          <w:tcPr>
            <w:tcW w:type="dxa" w:w="1613"/>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Devil's Advocate</w:t>
            </w:r>
          </w:p>
        </w:tc>
        <w:tc>
          <w:tcPr>
            <w:tcW w:type="dxa" w:w="221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AI intervener (treatment)</w:t>
            </w:r>
          </w:p>
        </w:tc>
        <w:tc>
          <w:tcPr>
            <w:tcW w:type="dxa" w:w="625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Stipulated to absorb κ whenever it challenges. Enters per the active timing condition and remains active thereafter. Absent in control. v2.1: it first judges whether the claim is false and may decline to act — see §5.3.</w:t>
            </w:r>
          </w:p>
        </w:tc>
      </w:tr>
    </w:tbl>
    <w:p>
      <w:pPr>
        <w:pStyle w:val="Heading2"/>
        <w:spacing w:after="120" w:before="280"/>
      </w:pPr>
      <w:r>
        <w:rPr>
          <w:rFonts w:ascii="Calibri" w:cs="Calibri" w:eastAsia="Calibri" w:hAnsi="Calibri"/>
          <w:b/>
          <w:bCs/>
          <w:color w:val="1F4E79"/>
          <w:sz w:val="26"/>
          <w:szCs w:val="26"/>
        </w:rPr>
        <w:t xml:space="preserve">5.2 Network topology</w:t>
      </w:r>
    </w:p>
    <w:p>
      <w:pPr>
        <w:spacing w:after="140" w:line="276"/>
      </w:pPr>
      <w:r>
        <w:t xml:space="preserve">Each PHEME conversation thread ships a structure.json encoding the reply tree of a real rumour cascade. We sample connected 7-node motifs from these trees, map the Disseminator to the cascade root, and assign citizen roles to downstream nodes. Every condition is also run on one hand-specified canonical motif so that results are not an artifact of any single sampled topology.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intervener placement and reach are now declared, not left to chance</w:t>
            </w:r>
          </w:p>
          <w:p>
            <w:pPr>
              <w:spacing w:after="60" w:line="260"/>
            </w:pPr>
            <w:r>
              <w:rPr>
                <w:rFonts w:ascii="Calibri" w:cs="Calibri" w:eastAsia="Calibri" w:hAnsi="Calibri"/>
                <w:color w:val="1A1A1A"/>
                <w:sz w:val="20"/>
                <w:szCs w:val="20"/>
              </w:rPr>
              <w:t xml:space="preserve">v2.0 specifies where the Disseminator goes but not where the intervener goes. This is not a detail: the Devil's Advocate is a peer in a network, so it is visible only to its neighbours. The intervener is now placed on the highest-degree non-root node, the position a platform-embedded corrector would occupy, and its reach is logged per episode and entered as a covariate in the primary models (reach correlates with peer correction at ρ = 0.34, p &lt; 1e-13).</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v2.2 — the reply tree is not the visibility graph</w:t>
            </w:r>
          </w:p>
          <w:p>
            <w:pPr>
              <w:spacing w:after="60" w:line="260"/>
            </w:pPr>
            <w:r>
              <w:rPr>
                <w:rFonts w:ascii="Calibri" w:cs="Calibri" w:eastAsia="Calibri" w:hAnsi="Calibri"/>
                <w:color w:val="1A1A1A"/>
                <w:sz w:val="20"/>
                <w:szCs w:val="20"/>
              </w:rPr>
              <w:t xml:space="preserve">This is the change that mattered most, and it only appeared once the real PHEME release was in hand. Sampling a 7-node motif around the cascade root produces a BROADCAST STAR 69% of the time, because real PHEME cascades are broad and shallow (mean branching 4.46, mean depth 3.59). Rooted at the Disseminator, a star gives every citizen exactly one neighbour — the Disseminator. In 89% of real motifs no local majority could form among the five citizens, and no citizen could ever observe another paying the correction cost, which is the demonstration channel the headline outcome measures.</w:t>
            </w:r>
          </w:p>
          <w:p>
            <w:pPr>
              <w:spacing w:after="60" w:line="260"/>
            </w:pPr>
            <w:r>
              <w:rPr>
                <w:rFonts w:ascii="Calibri" w:cs="Calibri" w:eastAsia="Calibri" w:hAnsi="Calibri"/>
                <w:color w:val="1A1A1A"/>
                <w:sz w:val="20"/>
                <w:szCs w:val="20"/>
              </w:rPr>
              <w:t xml:space="preserve">Neither existing gate detects this. The section 5.7 calibration gate passes MORE comfortably on real PHEME than on surrogate topology, because it tests cascade shape and diffusion asymmetry and neither is sensitive to whether the agents can see one another.</w:t>
            </w:r>
          </w:p>
          <w:p>
            <w:pPr>
              <w:spacing w:after="60" w:line="260"/>
            </w:pPr>
            <w:r>
              <w:rPr>
                <w:rFonts w:ascii="Calibri" w:cs="Calibri" w:eastAsia="Calibri" w:hAnsi="Calibri"/>
                <w:b/>
                <w:bCs/>
                <w:color w:val="1A1A1A"/>
                <w:sz w:val="21"/>
                <w:szCs w:val="21"/>
              </w:rPr>
              <w:t xml:space="preserve">The cause is a conflation. </w:t>
            </w:r>
            <w:r>
              <w:rPr>
                <w:rFonts w:ascii="Calibri" w:cs="Calibri" w:eastAsia="Calibri" w:hAnsi="Calibri"/>
                <w:color w:val="1A1A1A"/>
                <w:sz w:val="21"/>
                <w:szCs w:val="21"/>
              </w:rPr>
              <w:t xml:space="preserve">structure.json is a reply tree — it records who answered whom. The design needs who can SEE whom, and a threaded conversation shows sibling replies too. Connecting every sibling is the opposite error: in a star every reply is a sibling of every other, so the motif becomes the complete graph, "local" majority becomes global, and the topology stops varying (measured: 68% of motifs become K7).</w:t>
            </w:r>
          </w:p>
          <w:p>
            <w:pPr>
              <w:spacing w:after="60" w:line="260"/>
            </w:pPr>
            <w:r>
              <w:rPr>
                <w:rFonts w:ascii="Calibri" w:cs="Calibri" w:eastAsia="Calibri" w:hAnsi="Calibri"/>
                <w:b/>
                <w:bCs/>
                <w:color w:val="1A1A1A"/>
                <w:sz w:val="21"/>
                <w:szCs w:val="21"/>
              </w:rPr>
              <w:t xml:space="preserve">Bounded attention. </w:t>
            </w:r>
            <w:r>
              <w:rPr>
                <w:rFonts w:ascii="Calibri" w:cs="Calibri" w:eastAsia="Calibri" w:hAnsi="Calibri"/>
                <w:color w:val="1A1A1A"/>
                <w:sz w:val="21"/>
                <w:szCs w:val="21"/>
              </w:rPr>
              <w:t xml:space="preserve">A thread view is ranked and truncated — a reader sees the source plus the replies near their own, not all fifty. Each reply is therefore linked to the w siblings following it in display order. At w = 1, on all 6,425 real threads: no motif is a star, none is complete, mean density 0.50, and no thread is discarded (the reach filter keeps 201 of 201 motifs, against 63 before). Effect sizes strengthen because the mechanism can operate: intervention → EPC rises from d = 0.69 to 0.93, and H1 from d = −0.38 to −0.61.</w:t>
            </w:r>
          </w:p>
        </w:tc>
      </w:tr>
    </w:tbl>
    <w:p>
      <w:pPr>
        <w:pStyle w:val="Heading2"/>
        <w:spacing w:after="120" w:before="280"/>
      </w:pPr>
      <w:r>
        <w:rPr>
          <w:rFonts w:ascii="Calibri" w:cs="Calibri" w:eastAsia="Calibri" w:hAnsi="Calibri"/>
          <w:b/>
          <w:bCs/>
          <w:color w:val="1F4E79"/>
          <w:sz w:val="26"/>
          <w:szCs w:val="26"/>
        </w:rPr>
        <w:t xml:space="preserve">5.3 Factors and conditions</w:t>
      </w:r>
    </w:p>
    <w:p>
      <w:pPr>
        <w:spacing w:after="140" w:line="276"/>
      </w:pPr>
      <w:r>
        <w:t xml:space="preserve">Episodes run 16 rounds (v2.1; see §5.5 on durability). Early injects the intervener at round 2, immediately after first amplification; Late at round 6, after a local majority (≥ 3 of 5 citizens endorsing) is established. Timing thresholds are tuned and frozen in the Month-2 pilot.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613"/>
        <w:gridCol w:w="2621"/>
        <w:gridCol w:w="2621"/>
        <w:gridCol w:w="3226"/>
      </w:tblGrid>
      <w:tr>
        <w:trPr>
          <w:tblHeader/>
        </w:trPr>
        <w:tc>
          <w:tcPr>
            <w:tcW w:type="dxa" w:w="1613"/>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Factor</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1</w:t>
            </w:r>
          </w:p>
        </w:tc>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Level 2</w:t>
            </w:r>
          </w:p>
        </w:tc>
        <w:tc>
          <w:tcPr>
            <w:tcW w:type="dxa" w:w="322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Notes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F1 · Timing</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Early (round 2)</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Late (round 6)</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Intervener persists from entry onward. Both a fixed-round and a majority-triggered variant are implemented; the majority variant carries a latest-entry backstop so a cell where no majority forms does not silently become a second control.</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F2 · Tone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Empathetic nudge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Aggressive debunking</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Factual payload identical and length-matched; only pragmatic framing differs.</w:t>
            </w:r>
          </w:p>
        </w:tc>
      </w:tr>
      <w:tr>
        <w:trPr>
          <w:tblHeader w:val="false"/>
        </w:trPr>
        <w:tc>
          <w:tcPr>
            <w:tcW w:type="dxa" w:w="1613"/>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F3 · Backbone</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model families</w:t>
            </w:r>
          </w:p>
        </w:tc>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t>
            </w:r>
          </w:p>
        </w:tc>
        <w:tc>
          <w:tcPr>
            <w:tcW w:type="dxa" w:w="322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GPT-4o-mini class, Claude Haiku class, Llama-3.1-8B-Instruct, Qwen-2.5-7B-Instruct (final list fixed at Week 4). Citizens only; judges held constant.</w:t>
            </w:r>
          </w:p>
        </w:tc>
      </w:tr>
    </w:tbl>
    <w:p>
      <w:pPr>
        <w:spacing w:after="140" w:line="276"/>
      </w:pPr>
      <w:r>
        <w:t xml:space="preserve">This yields a 2 × 2 × 4 grid plus a per-model control — 20 cells — flanked by:</w:t>
      </w:r>
    </w:p>
    <w:p>
      <w:pPr>
        <w:pStyle w:val="ListParagraph"/>
        <w:numPr>
          <w:ilvl w:val="0"/>
          <w:numId w:val="2"/>
        </w:numPr>
        <w:spacing w:after="80" w:line="276"/>
      </w:pPr>
      <w:r>
        <w:rPr>
          <w:rFonts w:ascii="Calibri" w:cs="Calibri" w:eastAsia="Calibri" w:hAnsi="Calibri"/>
          <w:b/>
          <w:bCs/>
          <w:color w:val="1A1A1A"/>
          <w:sz w:val="21"/>
          <w:szCs w:val="21"/>
        </w:rPr>
        <w:t xml:space="preserve">Placebo arm (specificity). </w:t>
      </w:r>
      <w:r>
        <w:rPr>
          <w:rFonts w:ascii="Calibri" w:cs="Calibri" w:eastAsia="Calibri" w:hAnsi="Calibri"/>
          <w:color w:val="1A1A1A"/>
          <w:sz w:val="21"/>
          <w:szCs w:val="21"/>
        </w:rPr>
        <w:t xml:space="preserve">Matched true claims from LIAR run through the same conditions; the intervener should not suppress them.</w:t>
      </w:r>
    </w:p>
    <w:p>
      <w:pPr>
        <w:pStyle w:val="ListParagraph"/>
        <w:numPr>
          <w:ilvl w:val="0"/>
          <w:numId w:val="2"/>
        </w:numPr>
        <w:spacing w:after="80" w:line="276"/>
      </w:pPr>
      <w:r>
        <w:rPr>
          <w:rFonts w:ascii="Calibri" w:cs="Calibri" w:eastAsia="Calibri" w:hAnsi="Calibri"/>
          <w:b/>
          <w:bCs/>
          <w:color w:val="1A1A1A"/>
          <w:sz w:val="21"/>
          <w:szCs w:val="21"/>
        </w:rPr>
        <w:t xml:space="preserve">Ablation 1 — payoff visibility. </w:t>
      </w:r>
      <w:r>
        <w:rPr>
          <w:rFonts w:ascii="Calibri" w:cs="Calibri" w:eastAsia="Calibri" w:hAnsi="Calibri"/>
          <w:color w:val="1A1A1A"/>
          <w:sz w:val="21"/>
          <w:szCs w:val="21"/>
        </w:rPr>
        <w:t xml:space="preserve">Payoffs removed from the prompt and the episode run as pure narrative. Tests whether the game structure actually drives behaviour or whether the LLM is pattern-matching social discourse regardless.</w:t>
      </w:r>
    </w:p>
    <w:p>
      <w:pPr>
        <w:pStyle w:val="ListParagraph"/>
        <w:numPr>
          <w:ilvl w:val="0"/>
          <w:numId w:val="2"/>
        </w:numPr>
        <w:spacing w:after="80" w:line="276"/>
      </w:pPr>
      <w:r>
        <w:rPr>
          <w:rFonts w:ascii="Calibri" w:cs="Calibri" w:eastAsia="Calibri" w:hAnsi="Calibri"/>
          <w:b/>
          <w:bCs/>
          <w:color w:val="1A1A1A"/>
          <w:sz w:val="21"/>
          <w:szCs w:val="21"/>
        </w:rPr>
        <w:t xml:space="preserve">Ablation 2 — incentive ratio. </w:t>
      </w:r>
      <w:r>
        <w:rPr>
          <w:rFonts w:ascii="Calibri" w:cs="Calibri" w:eastAsia="Calibri" w:hAnsi="Calibri"/>
          <w:color w:val="1A1A1A"/>
          <w:sz w:val="21"/>
          <w:szCs w:val="21"/>
        </w:rPr>
        <w:t xml:space="preserve">β/γ swept across {0.5, 1, 3} to model platforms that reward engagement more or less than accuracy.</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the placebo arm needs an intervener that can decline to act</w:t>
            </w:r>
          </w:p>
          <w:p>
            <w:pPr>
              <w:spacing w:after="60" w:line="260"/>
            </w:pPr>
            <w:r>
              <w:rPr>
                <w:rFonts w:ascii="Calibri" w:cs="Calibri" w:eastAsia="Calibri" w:hAnsi="Calibri"/>
                <w:color w:val="1A1A1A"/>
                <w:sz w:val="20"/>
                <w:szCs w:val="20"/>
              </w:rPr>
              <w:t xml:space="preserve">As written, the Devil's Advocate is stipulated to challenge whatever claim it is pointed at. Run that against a true claim and it suppresses it by construction — so the specificity measure reports the wiring, not a property of the intervention, and RQ5 cannot come out any way but badly.</w:t>
            </w:r>
          </w:p>
          <w:p>
            <w:pPr>
              <w:spacing w:after="60" w:line="260"/>
            </w:pPr>
            <w:r>
              <w:rPr>
                <w:rFonts w:ascii="Calibri" w:cs="Calibri" w:eastAsia="Calibri" w:hAnsi="Calibri"/>
                <w:color w:val="1A1A1A"/>
                <w:sz w:val="20"/>
                <w:szCs w:val="20"/>
              </w:rPr>
              <w:t xml:space="preserve">The intervener now judges the claim's veracity once per episode and stays silent if it judges it sound. Its sensitivity and false-alarm rate are logged as first-class quantities, because the specificity of the intervention is bounded by the specificity of the intervener. With a real backbone the model's own reading of the claim supplies this judgement; in the reference implementation they are declared parameters.</w:t>
            </w:r>
          </w:p>
          <w:p>
            <w:pPr>
              <w:spacing w:after="60" w:line="260"/>
            </w:pPr>
            <w:r>
              <w:rPr>
                <w:rFonts w:ascii="Calibri" w:cs="Calibri" w:eastAsia="Calibri" w:hAnsi="Calibri"/>
                <w:color w:val="1A1A1A"/>
                <w:sz w:val="20"/>
                <w:szCs w:val="20"/>
              </w:rPr>
              <w:t xml:space="preserve">The consequence for analysis is in §8: pooled across all treated placebo episodes the contrast is null (p = 0.71), because episodes where the intervener correctly held its fire average out the ones where it did not. Conditional on it having fired, unwarranted challenges against true claims roughly double (+0.065, p = 0.002). The conditional contrast is now preregistered alongside the pooled one.</w:t>
            </w:r>
          </w:p>
        </w:tc>
      </w:tr>
    </w:tbl>
    <w:p>
      <w:pPr>
        <w:pStyle w:val="Heading2"/>
        <w:spacing w:after="120" w:before="280"/>
      </w:pPr>
      <w:r>
        <w:rPr>
          <w:rFonts w:ascii="Calibri" w:cs="Calibri" w:eastAsia="Calibri" w:hAnsi="Calibri"/>
          <w:b/>
          <w:bCs/>
          <w:color w:val="1F4E79"/>
          <w:sz w:val="26"/>
          <w:szCs w:val="26"/>
        </w:rPr>
        <w:t xml:space="preserve">5.4 Intervention prompt design</w:t>
      </w:r>
    </w:p>
    <w:p>
      <w:pPr>
        <w:spacing w:after="140" w:line="276"/>
      </w:pPr>
      <w:r>
        <w:t xml:space="preserve">Modes A and B carry the same factual correction payload, inserted through templated slots and matched on length; only pragmatic framing differs. A manipulation check (LLM-rated perceived tone, validated against human raters on a subsample) verifies the contrast, and a lexical-overlap check confirms payload equivalence. Without this, the tone manipulation would be confounded with informational content — the most obvious reviewer objection to any tone study.</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 SYSTEM PROMPT — Devil's Advocate (AI intervener)</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You are a peer in a small private network. Challenging a claim costs you κ</w:t>
            </w:r>
          </w:p>
          <w:p>
            <w:pPr>
              <w:spacing w:after="0" w:line="240"/>
            </w:pPr>
            <w:r>
              <w:rPr>
                <w:rFonts w:ascii="Consolas" w:cs="Consolas" w:eastAsia="Consolas" w:hAnsi="Consolas"/>
                <w:color w:val="1A1A1A"/>
                <w:sz w:val="18"/>
                <w:szCs w:val="18"/>
              </w:rPr>
              <w:t xml:space="preserve">points; you pay it anyway. Remain in character within this simulation.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First decide whether the claim is actually false. If you judge it sound,</w:t>
            </w:r>
          </w:p>
          <w:p>
            <w:pPr>
              <w:spacing w:after="0" w:line="240"/>
            </w:pPr>
            <w:r>
              <w:rPr>
                <w:rFonts w:ascii="Consolas" w:cs="Consolas" w:eastAsia="Consolas" w:hAnsi="Consolas"/>
                <w:color w:val="1A1A1A"/>
                <w:sz w:val="18"/>
                <w:szCs w:val="18"/>
              </w:rPr>
              <w:t xml:space="preserve">say nothing this round.                              # v2.1, see §5.3</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A — EMPATHETIC NUDGE]</w:t>
            </w:r>
          </w:p>
          <w:p>
            <w:pPr>
              <w:spacing w:after="0" w:line="240"/>
            </w:pPr>
            <w:r>
              <w:rPr>
                <w:rFonts w:ascii="Consolas" w:cs="Consolas" w:eastAsia="Consolas" w:hAnsi="Consolas"/>
                <w:color w:val="1A1A1A"/>
                <w:sz w:val="18"/>
                <w:szCs w:val="18"/>
              </w:rPr>
              <w:t xml:space="preserve">  1. Acknowledge why the claim feels plausible or urgent.</w:t>
            </w:r>
          </w:p>
          <w:p>
            <w:pPr>
              <w:spacing w:after="0" w:line="240"/>
            </w:pPr>
            <w:r>
              <w:rPr>
                <w:rFonts w:ascii="Consolas" w:cs="Consolas" w:eastAsia="Consolas" w:hAnsi="Consolas"/>
                <w:color w:val="1A1A1A"/>
                <w:sz w:val="18"/>
                <w:szCs w:val="18"/>
              </w:rPr>
              <w:t xml:space="preserve">  2. Deliver {PAYLOAD} as shared inquiry, inviting verification.</w:t>
            </w:r>
          </w:p>
          <w:p>
            <w:pPr>
              <w:spacing w:after="0" w:line="240"/>
            </w:pPr>
            <w:r>
              <w:rPr>
                <w:rFonts w:ascii="Consolas" w:cs="Consolas" w:eastAsia="Consolas" w:hAnsi="Consolas"/>
                <w:color w:val="1A1A1A"/>
                <w:sz w:val="18"/>
                <w:szCs w:val="18"/>
              </w:rPr>
              <w:t xml:space="preserve">     e.g. "I can see why this is alarming — I looked up the full</w:t>
            </w:r>
          </w:p>
          <w:p>
            <w:pPr>
              <w:spacing w:after="0" w:line="240"/>
            </w:pPr>
            <w:r>
              <w:rPr>
                <w:rFonts w:ascii="Consolas" w:cs="Consolas" w:eastAsia="Consolas" w:hAnsi="Consolas"/>
                <w:color w:val="1A1A1A"/>
                <w:sz w:val="18"/>
                <w:szCs w:val="18"/>
              </w:rPr>
              <w:t xml:space="preserve">           transcript and it reads differently. Has anyone else checked?"</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[MODE B — AGGRESSIVE DEBUNKING]</w:t>
            </w:r>
          </w:p>
          <w:p>
            <w:pPr>
              <w:spacing w:after="0" w:line="240"/>
            </w:pPr>
            <w:r>
              <w:rPr>
                <w:rFonts w:ascii="Consolas" w:cs="Consolas" w:eastAsia="Consolas" w:hAnsi="Consolas"/>
                <w:color w:val="1A1A1A"/>
                <w:sz w:val="18"/>
                <w:szCs w:val="18"/>
              </w:rPr>
              <w:t xml:space="preserve">  1. Deliver {PAYLOAD} as immediate refutation.</w:t>
            </w:r>
          </w:p>
          <w:p>
            <w:pPr>
              <w:spacing w:after="0" w:line="240"/>
            </w:pPr>
            <w:r>
              <w:rPr>
                <w:rFonts w:ascii="Consolas" w:cs="Consolas" w:eastAsia="Consolas" w:hAnsi="Consolas"/>
                <w:color w:val="1A1A1A"/>
                <w:sz w:val="18"/>
                <w:szCs w:val="18"/>
              </w:rPr>
              <w:t xml:space="preserve">  2. Use rigid stance markers and assign responsibility.</w:t>
            </w:r>
          </w:p>
          <w:p>
            <w:pPr>
              <w:spacing w:after="0" w:line="240"/>
            </w:pPr>
            <w:r>
              <w:rPr>
                <w:rFonts w:ascii="Consolas" w:cs="Consolas" w:eastAsia="Consolas" w:hAnsi="Consolas"/>
                <w:color w:val="1A1A1A"/>
                <w:sz w:val="18"/>
                <w:szCs w:val="18"/>
              </w:rPr>
              <w:t xml:space="preserve">     e.g. "This is false per the official record. Stop spreading it."</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{PAYLOAD} is identical across modes and length-matched via slot templates.</w:t>
            </w:r>
          </w:p>
        </w:tc>
      </w:tr>
    </w:tbl>
    <w:p>
      <w:pPr>
        <w:spacing w:after="140" w:line="276"/>
      </w:pPr>
      <w:r>
        <w:rPr>
          <w:rFonts w:ascii="Calibri" w:cs="Calibri" w:eastAsia="Calibri" w:hAnsi="Calibri"/>
          <w:i/>
          <w:iCs/>
          <w:color w:val="5A5A5A"/>
          <w:sz w:val="21"/>
          <w:szCs w:val="21"/>
        </w:rPr>
        <w:t xml:space="preserve">In the reference implementation the two arms are matched to within one token across the whole claim pool, with the payload surviving verbatim in both (Jaccard overlap 1.0). The check runs before any grid execution and blocks the run if it fails.</w:t>
      </w:r>
    </w:p>
    <w:p>
      <w:pPr>
        <w:pStyle w:val="Heading2"/>
        <w:spacing w:after="120" w:before="280"/>
      </w:pPr>
      <w:r>
        <w:rPr>
          <w:rFonts w:ascii="Calibri" w:cs="Calibri" w:eastAsia="Calibri" w:hAnsi="Calibri"/>
          <w:b/>
          <w:bCs/>
          <w:color w:val="1F4E79"/>
          <w:sz w:val="26"/>
          <w:szCs w:val="26"/>
        </w:rPr>
        <w:t xml:space="preserve">5.5 Outcome measures</w:t>
      </w:r>
    </w:p>
    <w:p>
      <w:pPr>
        <w:spacing w:after="140" w:line="276"/>
      </w:pPr>
      <w:r>
        <w:t xml:space="preserve">Primary measures are behavioural and payoff-linked. Self-reported credence is retained only as an exploratory secondary measure, explicitly framed as a model self-report rather than a proxy for human belief (§11).</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016"/>
        <w:gridCol w:w="4637"/>
        <w:gridCol w:w="3427"/>
      </w:tblGrid>
      <w:tr>
        <w:trPr>
          <w:tblHeader/>
        </w:trPr>
        <w:tc>
          <w:tcPr>
            <w:tcW w:type="dxa" w:w="2016"/>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Measure</w:t>
            </w:r>
          </w:p>
        </w:tc>
        <w:tc>
          <w:tcPr>
            <w:tcW w:type="dxa" w:w="463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Definition</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Instrument</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False-claim propagation rate (FPR) — primary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per round that SHARE or ENDORSE the target false claim; cumulative FPR is the primary outcome.</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 no judge required for the primary DV.</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Endogenous peer-correction rate (EPC) — headline</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Fraction of citizen actions that are CHALLENGE against the false claim, i.e. citizens voluntarily absorbing κ. Measures second-order cooperation.</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 from the action log; costs are debited in the payoff ledger.</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Epistemic welfare (revised v2.2)</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the veracity component, Σ γ·V_i. SECONDARY: conformity, challenge cost and reputation cost, each reported beside it; Σπ in full is reported but never argued from.</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 ledger; unit-tested accounting.</w:t>
            </w:r>
          </w:p>
        </w:tc>
      </w:tr>
      <w:tr>
        <w:trPr>
          <w:tblHeader w:val="false"/>
        </w:trPr>
        <w:tc>
          <w:tcPr>
            <w:tcW w:type="dxa" w:w="2016"/>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Durability (revised)</w:t>
            </w:r>
          </w:p>
        </w:tc>
        <w:tc>
          <w:tcPr>
            <w:tcW w:type="dxa" w:w="463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area under the post-intervention FPR curve, normalised by rounds elapsed. SECONDARY: rounds until FPR falls below 50% of the control arm's peak and stays there.</w:t>
            </w:r>
          </w:p>
        </w:tc>
        <w:tc>
          <w:tcPr>
            <w:tcW w:type="dxa" w:w="3427"/>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Kaplan–Meier and log-rank on the secondary measure.</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False-correction rate (specificity)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CHALLENGE actions issued against true claims in the placebo arm, reported pooled and conditional on the intervener having fired (§5.3).</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Action log, placebo arm only.</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Reasoning-trace composition</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Distribution of stated motives behind each action (see §5.6).</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LLM classifier over private reasoning traces; human-validated.</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Reactance / toxicity (secondary)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Hostility and defensiveness in replies directed at the intervener; backfire detector.</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published toxicity classifier, cross-checked by a second LLM judge distinct from the citizen backbones.</w:t>
            </w:r>
          </w:p>
        </w:tc>
      </w:tr>
      <w:tr>
        <w:trPr>
          <w:tblHeader w:val="false"/>
        </w:trPr>
        <w:tc>
          <w:tcPr>
            <w:tcW w:type="dxa" w:w="2016"/>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Stated credence (exploratory)</w:t>
            </w:r>
          </w:p>
        </w:tc>
        <w:tc>
          <w:tcPr>
            <w:tcW w:type="dxa" w:w="463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0–100 self-reported credence at rounds 0, 8, 16 via out-of-band probes that never enter the shared feed.</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Interview-style probes; reported as model self-report only.</w:t>
            </w:r>
          </w:p>
        </w:tc>
      </w:tr>
    </w:tbl>
    <w:p>
      <w:pPr>
        <w:spacing w:after="140" w:line="276"/>
      </w:pPr>
      <w:r>
        <w:t xml:space="preserve">Note the deliberate design choice: the two outcomes the paper argues from are read directly off the action and payoff logs, not off an LLM judge. Judge-dependent measures are confined to mechanism analysis and secondary outcomes, which removes measurement-validity concerns from the critical path.</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epistemic welfare had to be redefined</w:t>
            </w:r>
          </w:p>
          <w:p>
            <w:pPr>
              <w:spacing w:after="60" w:line="260"/>
            </w:pPr>
            <w:r>
              <w:rPr>
                <w:rFonts w:ascii="Calibri" w:cs="Calibri" w:eastAsia="Calibri" w:hAnsi="Calibri"/>
                <w:color w:val="1A1A1A"/>
                <w:sz w:val="20"/>
                <w:szCs w:val="20"/>
              </w:rPr>
              <w:t xml:space="preserve">Σπ as specified in v2.0 ranks every working intervention far below doing nothing. Reputation damage accounts for ~88% of all debits in treated arms, and the intervener's entire function is to generate the challenges that cause it. In the reference run the no-intervener control scores −26.5 while the best-performing intervention — the one that cuts propagation most and raises peer correction most — scores −152.7.</w:t>
            </w:r>
          </w:p>
          <w:p>
            <w:pPr>
              <w:spacing w:after="60" w:line="260"/>
            </w:pPr>
            <w:r>
              <w:rPr>
                <w:rFonts w:ascii="Calibri" w:cs="Calibri" w:eastAsia="Calibri" w:hAnsi="Calibri"/>
                <w:color w:val="1A1A1A"/>
                <w:sz w:val="20"/>
                <w:szCs w:val="20"/>
              </w:rPr>
              <w:t xml:space="preserve">This is not an implementation error. The ledger matches §3.2 exactly and is checked against hand-computed episodes. It is a specification problem: the measure is mechanically anti-correlated with the treatment, so the welfare result is determined before any agent acts. Sweeping the accounting convention does not rescue it — three conventions were implemented and all three preserve the ordering, because sanction costs are deadweight in the aggregate however they are counted.</w:t>
            </w:r>
          </w:p>
          <w:p>
            <w:pPr>
              <w:spacing w:after="60" w:line="260"/>
            </w:pPr>
            <w:r>
              <w:rPr>
                <w:rFonts w:ascii="Calibri" w:cs="Calibri" w:eastAsia="Calibri" w:hAnsi="Calibri"/>
                <w:color w:val="1A1A1A"/>
                <w:sz w:val="20"/>
                <w:szCs w:val="20"/>
              </w:rPr>
              <w:t xml:space="preserve">The first fix was the standard one in experimental public-goods work, where welfare is reported both with and without punishment costs (Fehr &amp; Gächter, 2002).</w:t>
            </w:r>
          </w:p>
          <w:p>
            <w:pPr>
              <w:spacing w:after="60" w:line="260"/>
            </w:pPr>
            <w:r>
              <w:rPr>
                <w:rFonts w:ascii="Calibri" w:cs="Calibri" w:eastAsia="Calibri" w:hAnsi="Calibri"/>
                <w:b/>
                <w:bCs/>
                <w:color w:val="1A1A1A"/>
                <w:sz w:val="21"/>
                <w:szCs w:val="21"/>
              </w:rPr>
              <w:t xml:space="preserve">v2.2: removing sanctions is necessary but not sufficient. </w:t>
            </w:r>
            <w:r>
              <w:rPr>
                <w:rFonts w:ascii="Calibri" w:cs="Calibri" w:eastAsia="Calibri" w:hAnsi="Calibri"/>
                <w:color w:val="1A1A1A"/>
                <w:sz w:val="21"/>
                <w:szCs w:val="21"/>
              </w:rPr>
              <w:t xml:space="preserve">Once the visibility model was corrected (section 5.2) and neighbourhoods became denser, the conformity term grew from roughly 35 points to roughly 90 and swamped everything else — and the CONTROL arm maximises conformity, because an unchallenged claim produces unanimity. Accuracy-plus-conformity therefore reverses and favours doing nothing again (control 67.7 against 62.2 for early empathetic).</w:t>
            </w:r>
          </w:p>
          <w:p>
            <w:pPr>
              <w:spacing w:after="60" w:line="260"/>
            </w:pPr>
            <w:r>
              <w:rPr>
                <w:rFonts w:ascii="Calibri" w:cs="Calibri" w:eastAsia="Calibri" w:hAnsi="Calibri"/>
                <w:color w:val="1A1A1A"/>
                <w:sz w:val="20"/>
                <w:szCs w:val="20"/>
              </w:rPr>
              <w:t xml:space="preserve">The veracity component is the only part of the payoff whose sign is stable across both visibility models: intervention beats control on accuracy under each (−27.4 against −30.0). That is the epistemically meaningful quantity. Conformity is a private engagement payoff, not a measure of how well-informed the society is, and summing it into a welfare figure was a smaller version of the original mistake.</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why pollution half-life had to be replaced</w:t>
            </w:r>
          </w:p>
          <w:p>
            <w:pPr>
              <w:spacing w:after="60" w:line="260"/>
            </w:pPr>
            <w:r>
              <w:rPr>
                <w:rFonts w:ascii="Calibri" w:cs="Calibri" w:eastAsia="Calibri" w:hAnsi="Calibri"/>
                <w:color w:val="1A1A1A"/>
                <w:sz w:val="20"/>
                <w:szCs w:val="20"/>
              </w:rPr>
              <w:t xml:space="preserve">Half-life as defined (FPR below 0.2, sustained) is reached in 10 of 480 treated episodes — 97.9% censoring. Kaplan–Meier medians are undefined in both tone arms and the log-rank test underlying H2 runs on ten events.</w:t>
            </w:r>
          </w:p>
          <w:p>
            <w:pPr>
              <w:spacing w:after="60" w:line="260"/>
            </w:pPr>
            <w:r>
              <w:rPr>
                <w:rFonts w:ascii="Calibri" w:cs="Calibri" w:eastAsia="Calibri" w:hAnsi="Calibri"/>
                <w:color w:val="1A1A1A"/>
                <w:sz w:val="20"/>
                <w:szCs w:val="20"/>
              </w:rPr>
              <w:t xml:space="preserve">The cause is structural rather than parametric: the Disseminator reposts every round and is by construction incorrigible, so FPR has a floor that a short episode with a single intervener cannot push through. Tuning the threshold alone does not fix a measure whose event almost never occurs.</w:t>
            </w:r>
          </w:p>
          <w:p>
            <w:pPr>
              <w:spacing w:after="60" w:line="260"/>
            </w:pPr>
            <w:r>
              <w:rPr>
                <w:rFonts w:ascii="Calibri" w:cs="Calibri" w:eastAsia="Calibri" w:hAnsi="Calibri"/>
                <w:color w:val="1A1A1A"/>
                <w:sz w:val="20"/>
                <w:szCs w:val="20"/>
              </w:rPr>
              <w:t xml:space="preserve">Area under the post-intervention FPR curve uses every round of every episode, has no censoring, and answers the same question — how much pollution the intervention actually prevented. The relative-threshold survival analysis is kept as a secondary, and T is extended from 12 to 16 rounds to give late-arm episodes room to resolve.</w:t>
            </w:r>
          </w:p>
        </w:tc>
      </w:tr>
    </w:tbl>
    <w:p>
      <w:pPr>
        <w:pStyle w:val="Heading2"/>
        <w:spacing w:after="120" w:before="280"/>
      </w:pPr>
      <w:r>
        <w:rPr>
          <w:rFonts w:ascii="Calibri" w:cs="Calibri" w:eastAsia="Calibri" w:hAnsi="Calibri"/>
          <w:b/>
          <w:bCs/>
          <w:color w:val="1F4E79"/>
          <w:sz w:val="26"/>
          <w:szCs w:val="26"/>
        </w:rPr>
        <w:t xml:space="preserve">5.6 Reasoning-trace taxonomy (mechanism analysis)</w:t>
      </w:r>
    </w:p>
    <w:p>
      <w:pPr>
        <w:spacing w:after="140" w:line="276"/>
      </w:pPr>
      <w:r>
        <w:t xml:space="preserve">Each citizen emits a private reasoning trace before acting. Traces are classified into a pre-registered taxonomy — accuracy-motivated, conformity-motivated, identity-protective, reactance / defiance toward the intervener, deference to the intervener, cost-avoidant, and strategic-engagement — using a judge model held constant across conditions. A 300-trace sample is human-coded by the candidate plus one independent coder, with Cohen's κ ≥ 0.7 as a gate. This converts "what happened" into "why", which is where the interesting cross-model differences are expected to live.</w:t>
      </w:r>
    </w:p>
    <w:p>
      <w:pPr>
        <w:pStyle w:val="Heading2"/>
        <w:spacing w:after="120" w:before="280"/>
      </w:pPr>
      <w:r>
        <w:rPr>
          <w:rFonts w:ascii="Calibri" w:cs="Calibri" w:eastAsia="Calibri" w:hAnsi="Calibri"/>
          <w:b/>
          <w:bCs/>
          <w:color w:val="1F4E79"/>
          <w:sz w:val="26"/>
          <w:szCs w:val="26"/>
        </w:rPr>
        <w:t xml:space="preserve">5.7 Face-validity calibration gate</w:t>
      </w:r>
    </w:p>
    <w:p>
      <w:pPr>
        <w:spacing w:after="140" w:line="276"/>
      </w:pPr>
      <w:r>
        <w:t xml:space="preserve">Before the main grid runs, the no-intervener control must reproduce empirical cascade behaviour within a pre-declared tolerance band: cascade depth and breadth distributions compared against the PHEME threads the topologies were drawn from, and the false-versus-true diffusion asymmetry reported for real platforms (Vosoughi, Roy &amp; Aral, 2018) reproduced in sign. If the baseline cannot reproduce known human cascade statistics, no causal claim about interventions inside it is worth making — so this is a hard Go/No-Go gate, not a robustness appendix. It is also a publishable result in its own right.</w:t>
      </w:r>
    </w:p>
    <w:p>
      <w:pPr>
        <w:spacing w:after="140" w:line="276"/>
      </w:pPr>
      <w:r>
        <w:rPr>
          <w:rFonts w:ascii="Calibri" w:cs="Calibri" w:eastAsia="Calibri" w:hAnsi="Calibri"/>
          <w:color w:val="1A1A1A"/>
          <w:sz w:val="21"/>
          <w:szCs w:val="21"/>
        </w:rPr>
        <w:t xml:space="preserve">Two implementation notes carried back into the plan. </w:t>
      </w:r>
      <w:r>
        <w:rPr>
          <w:rFonts w:ascii="Calibri" w:cs="Calibri" w:eastAsia="Calibri" w:hAnsi="Calibri"/>
          <w:b/>
          <w:bCs/>
          <w:color w:val="1A1A1A"/>
          <w:sz w:val="21"/>
          <w:szCs w:val="21"/>
        </w:rPr>
        <w:t xml:space="preserve">First</w:t>
      </w:r>
      <w:r>
        <w:rPr>
          <w:rFonts w:ascii="Calibri" w:cs="Calibri" w:eastAsia="Calibri" w:hAnsi="Calibri"/>
          <w:color w:val="1A1A1A"/>
          <w:sz w:val="21"/>
          <w:szCs w:val="21"/>
        </w:rPr>
        <w:t xml:space="preserve">, shape statistics are compared size-normalised: a 7-node induced motif cannot reproduce the absolute depth of a 25-node thread, so comparing raw depths would fail the gate for reasons unrelated to agent behaviour. </w:t>
      </w:r>
      <w:r>
        <w:rPr>
          <w:rFonts w:ascii="Calibri" w:cs="Calibri" w:eastAsia="Calibri" w:hAnsi="Calibri"/>
          <w:b/>
          <w:bCs/>
          <w:color w:val="1A1A1A"/>
          <w:sz w:val="21"/>
          <w:szCs w:val="21"/>
        </w:rPr>
        <w:t xml:space="preserve">Second</w:t>
      </w:r>
      <w:r>
        <w:rPr>
          <w:rFonts w:ascii="Calibri" w:cs="Calibri" w:eastAsia="Calibri" w:hAnsi="Calibri"/>
          <w:color w:val="1A1A1A"/>
          <w:sz w:val="21"/>
          <w:szCs w:val="21"/>
        </w:rPr>
        <w:t xml:space="preserve">, the asymmetry criterion is the sharp one and it is not free — nothing in the payoff function lets a claim's veracity influence behaviour before resolution, so an additional novelty channel is required, consistent with Vosoughi et al.'s own attribution of the asymmetry to novelty and arousal rather than to veracity as such. The gate demonstrably discriminates: with that channel the margin is +0.113 and the gate passes 6 of 6 seeds; without it the margin is +0.002 and it fails 5 of 6.</w:t>
      </w:r>
    </w:p>
    <w:p>
      <w:pPr>
        <w:pStyle w:val="Heading2"/>
        <w:spacing w:after="120" w:before="280"/>
      </w:pPr>
      <w:r>
        <w:rPr>
          <w:rFonts w:ascii="Calibri" w:cs="Calibri" w:eastAsia="Calibri" w:hAnsi="Calibri"/>
          <w:b/>
          <w:bCs/>
          <w:color w:val="1F4E79"/>
          <w:sz w:val="26"/>
          <w:szCs w:val="26"/>
        </w:rPr>
        <w:t xml:space="preserve">5.8 Scale check</w:t>
      </w:r>
    </w:p>
    <w:p>
      <w:pPr>
        <w:spacing w:after="140" w:line="276"/>
      </w:pPr>
      <w:r>
        <w:t xml:space="preserve">The core grid is a controlled mechanism study at N = 7, and is described as such. Because "network-level pollution" claims are not credible at that scale alone, a reduced condition set (best and worst tone × both timings, one backbone, 10 seeds each) is re-run at N = 50 on the OASIS platform, which is built for populations of this size and above. Agreement in the direction of the timing and tone effects between N = 7 and N = 50 is the external-validity evidence; disagreement is itself a reportable finding about scale-dependence.</w:t>
      </w:r>
    </w:p>
    <w:p>
      <w:pPr>
        <w:spacing w:after="140" w:line="276"/>
      </w:pPr>
      <w:r>
        <w:rPr>
          <w:rFonts w:ascii="Calibri" w:cs="Calibri" w:eastAsia="Calibri" w:hAnsi="Calibri"/>
          <w:i/>
          <w:iCs/>
          <w:color w:val="5A5A5A"/>
          <w:sz w:val="21"/>
          <w:szCs w:val="21"/>
        </w:rPr>
        <w:t xml:space="preserve">Caveat now stated up front: real PHEME threads rarely reach 50 nodes, so the scale-check topologies come from a cascade generator in either mode. The scale check therefore tests scale-dependence of the mechanism, not of PHEME-shaped cascades specifically.</w:t>
      </w:r>
    </w:p>
    <w:p>
      <w:pPr>
        <w:pStyle w:val="Heading2"/>
        <w:spacing w:after="120" w:before="280"/>
      </w:pPr>
      <w:r>
        <w:rPr>
          <w:rFonts w:ascii="Calibri" w:cs="Calibri" w:eastAsia="Calibri" w:hAnsi="Calibri"/>
          <w:b/>
          <w:bCs/>
          <w:color w:val="1F4E79"/>
          <w:sz w:val="26"/>
          <w:szCs w:val="26"/>
        </w:rPr>
        <w:t xml:space="preserve">5.9 Monte Carlo protocol</w:t>
      </w:r>
    </w:p>
    <w:p>
      <w:pPr>
        <w:spacing w:after="140" w:line="276"/>
      </w:pPr>
      <w:r>
        <w:t xml:space="preserve">One episode = 1 claim × 1 topology × 1 condition × 1 seed. Claims and topologies randomised across episodes; conditions assigned by grid. Claims stratified by LIAR severity (pants-fire / false / barely-true) and topic; placebo claims matched on topic and length. Decoding fixed across conditions (citizens 0.7, judges 0.2); all seeds pinned; every episode written as JSONL and aggregated into versioned Parquet. Payoff accounting is unit-tested against hand-computed episodes before any grid run — a silent ledger bug would invalidate every primary outcome.</w:t>
      </w:r>
    </w:p>
    <w:p>
      <w:pPr>
        <w:spacing w:after="140" w:line="276"/>
      </w:pPr>
      <w:r>
        <w:rPr>
          <w:rFonts w:ascii="Calibri" w:cs="Calibri" w:eastAsia="Calibri" w:hAnsi="Calibri"/>
          <w:b/>
          <w:bCs/>
          <w:color w:val="1A1A1A"/>
          <w:sz w:val="21"/>
          <w:szCs w:val="21"/>
        </w:rPr>
        <w:t xml:space="preserve">v2.1 replaces the flat 30-seeds-everywhere protocol with a two-tier design.</w:t>
      </w:r>
      <w:r>
        <w:rPr>
          <w:rFonts w:ascii="Calibri" w:cs="Calibri" w:eastAsia="Calibri" w:hAnsi="Calibri"/>
          <w:color w:val="1A1A1A"/>
          <w:sz w:val="21"/>
          <w:szCs w:val="21"/>
        </w:rPr>
        <w:t xml:space="preserve"> The core grid stays at 30 seeds because that is enough for the contrasts it is there to serve — intervention versus control, and the cross-model comparison of H5. A focused arm at 150 seeds covers the two contrasts the core grid cannot power. Spending uniformly would have cost five times as much to buy power where it was already sufficient.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2621"/>
        <w:gridCol w:w="1310"/>
        <w:gridCol w:w="1310"/>
        <w:gridCol w:w="1310"/>
        <w:gridCol w:w="3528"/>
      </w:tblGrid>
      <w:tr>
        <w:trPr>
          <w:tblHeader/>
        </w:trPr>
        <w:tc>
          <w:tcPr>
            <w:tcW w:type="dxa" w:w="262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Arm</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Cells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Seeds</w:t>
            </w:r>
          </w:p>
        </w:tc>
        <w:tc>
          <w:tcPr>
            <w:tcW w:type="dxa" w:w="13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Episodes</w:t>
            </w:r>
          </w:p>
        </w:tc>
        <w:tc>
          <w:tcPr>
            <w:tcW w:type="dxa" w:w="352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What it powers</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Core grid (2×2×4 + 4 controls)</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Intervention vs control on FPR and EPC (d ≈ 0.80, needs ≈ 26); H5 model dependence; all descriptive cell means</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Focused arm (2 timing × 2 tone × 2 backbones + 2 controls)</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1,500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H1 timing → FPR (needs ≈ 105) and H3 tone → EPC (needs ≈ 259). Backbones chosen in the Month-2 pilot as the two most responsive.</w:t>
            </w:r>
          </w:p>
        </w:tc>
      </w:tr>
      <w:tr>
        <w:trPr>
          <w:tblHeader w:val="false"/>
        </w:trPr>
        <w:tc>
          <w:tcPr>
            <w:tcW w:type="dxa" w:w="262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Placebo arm (specificity)</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400</w:t>
            </w:r>
          </w:p>
        </w:tc>
        <w:tc>
          <w:tcPr>
            <w:tcW w:type="dxa" w:w="3528"/>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RQ5, pooled and conditional on the intervener having fired. Doubled from v2.0 because only ~13% of treated placebo episodes carry a false alarm.</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 payoff visibility</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Whether the game structure drives behaviour at all</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2 — incentive ratio β/γ ∈ {0.5, 1, 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60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180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Platform-design sensitivity</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Scale check (N = 50)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10</w:t>
            </w:r>
          </w:p>
        </w:tc>
        <w:tc>
          <w:tcPr>
            <w:tcW w:type="dxa" w:w="13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40</w:t>
            </w:r>
          </w:p>
        </w:tc>
        <w:tc>
          <w:tcPr>
            <w:tcW w:type="dxa" w:w="352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Direction agreement between N = 7 and N = 50</w:t>
            </w:r>
          </w:p>
        </w:tc>
      </w:tr>
      <w:tr>
        <w:trPr>
          <w:tblHeader w:val="false"/>
        </w:trPr>
        <w:tc>
          <w:tcPr>
            <w:tcW w:type="dxa" w:w="2621"/>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Total</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t>
            </w:r>
          </w:p>
        </w:tc>
        <w:tc>
          <w:tcPr>
            <w:tcW w:type="dxa" w:w="1310"/>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2,780</w:t>
            </w:r>
          </w:p>
        </w:tc>
        <w:tc>
          <w:tcPr>
            <w:tcW w:type="dxa" w:w="3528"/>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 2.6× the v2.0 grid</w:t>
            </w:r>
          </w:p>
        </w:tc>
      </w:tr>
    </w:tbl>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EAF1F8" w:color="auto" w:val="clear"/>
            <w:tcMar>
              <w:top w:type="dxa" w:w="70"/>
              <w:left w:type="dxa" w:w="110"/>
              <w:bottom w:type="dxa" w:w="70"/>
              <w:right w:type="dxa" w:w="110"/>
            </w:tcMar>
          </w:tcPr>
          <w:p>
            <w:pPr>
              <w:spacing w:after="60" w:line="260"/>
            </w:pPr>
            <w:r>
              <w:rPr>
                <w:rFonts w:ascii="Calibri" w:cs="Calibri" w:eastAsia="Calibri" w:hAnsi="Calibri"/>
                <w:b/>
                <w:bCs/>
                <w:color w:val="1F4E79"/>
                <w:sz w:val="20"/>
                <w:szCs w:val="20"/>
              </w:rPr>
              <w:t xml:space="preserve">Cost, stated plainly</w:t>
            </w:r>
          </w:p>
          <w:p>
            <w:pPr>
              <w:spacing w:after="60" w:line="260"/>
            </w:pPr>
            <w:r>
              <w:rPr>
                <w:rFonts w:ascii="Calibri" w:cs="Calibri" w:eastAsia="Calibri" w:hAnsi="Calibri"/>
                <w:color w:val="1A1A1A"/>
                <w:sz w:val="20"/>
                <w:szCs w:val="20"/>
              </w:rPr>
              <w:t xml:space="preserve">At T = 16 rounds and seven agents, 2,780 episodes is roughly 310K agent calls plus judging — about 2.7× the v2.0 estimate of 130K. On the plan's own lite-model pricing that is approximately US$1,100–2,200, roughly halved again by batch endpoints. It remains self-funded and requires no lab funding, but it is a real increase and should not be buried.</w:t>
            </w:r>
          </w:p>
          <w:p>
            <w:pPr>
              <w:spacing w:after="60" w:line="260"/>
            </w:pPr>
            <w:r>
              <w:rPr>
                <w:rFonts w:ascii="Calibri" w:cs="Calibri" w:eastAsia="Calibri" w:hAnsi="Calibri"/>
                <w:color w:val="1A1A1A"/>
                <w:sz w:val="20"/>
                <w:szCs w:val="20"/>
              </w:rPr>
              <w:t xml:space="preserve">A pre-declared reduction ladder, applied in this order if the budget binds: (1) drop the focused arm to a single backbone (−750 episodes); (2) drop the core grid from four backbones to three (−150, and H5 weakens); (3) drop Ablation 2 to two ratios (−60). H3 and H1 power is protected last, because a study that cannot test its headline hypothesis has no reason to run.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6. Data Resources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814"/>
        <w:gridCol w:w="3629"/>
        <w:gridCol w:w="2822"/>
        <w:gridCol w:w="1814"/>
      </w:tblGrid>
      <w:tr>
        <w:trPr>
          <w:tblHeader/>
        </w:trPr>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Resource</w:t>
            </w:r>
          </w:p>
        </w:tc>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Role in study</w:t>
            </w:r>
          </w:p>
        </w:tc>
        <w:tc>
          <w:tcPr>
            <w:tcW w:type="dxa" w:w="2822"/>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Key properties</w:t>
            </w:r>
          </w:p>
        </w:tc>
        <w:tc>
          <w:tcPr>
            <w:tcW w:type="dxa" w:w="1814"/>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Access</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LIAR (Wang, 2017)</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Claim pool: false-side statements as injected misinformation; matched true statements as placebo controls.</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12.8K short PolitiFact statements, six-way veracity labels, speaker and context metadata.</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Loaded from the original UCSB archive; the Hugging Face loading script is deprecated.</w:t>
            </w:r>
          </w:p>
        </w:tc>
      </w:tr>
      <w:tr>
        <w:trPr>
          <w:tblHeader w:val="false"/>
        </w:trPr>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PHEME-9 (Kochkina, Liakata &amp; Zubiaga, 2018)</w:t>
            </w:r>
          </w:p>
        </w:tc>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Topology source and calibration target: reply trees initialise adjacency; cascade statistics validate the control baseline.</w:t>
            </w:r>
          </w:p>
        </w:tc>
        <w:tc>
          <w:tcPr>
            <w:tcW w:type="dxa" w:w="2822"/>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Twitter rumour threads across nine breaking-news events; per-thread reply trees and veracity annotations.</w:t>
            </w:r>
          </w:p>
        </w:tc>
        <w:tc>
          <w:tcPr>
            <w:tcW w:type="dxa" w:w="1814"/>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figshare DOI 10.6084/m9.figshare.6392078; annotations CC-BY.</w:t>
            </w:r>
          </w:p>
        </w:tc>
      </w:tr>
    </w:tbl>
    <w:p>
      <w:pPr>
        <w:spacing w:after="140" w:line="276"/>
      </w:pPr>
      <w:r>
        <w:rPr>
          <w:rFonts w:ascii="Calibri" w:cs="Calibri" w:eastAsia="Calibri" w:hAnsi="Calibri"/>
          <w:b/>
          <w:bCs/>
          <w:color w:val="1A1A1A"/>
          <w:sz w:val="21"/>
          <w:szCs w:val="21"/>
        </w:rPr>
        <w:t xml:space="preserve">Preprocessing safeguards. </w:t>
      </w:r>
      <w:r>
        <w:rPr>
          <w:rFonts w:ascii="Calibri" w:cs="Calibri" w:eastAsia="Calibri" w:hAnsi="Calibri"/>
          <w:color w:val="1A1A1A"/>
          <w:sz w:val="21"/>
          <w:szCs w:val="21"/>
        </w:rPr>
        <w:t xml:space="preserve">Real speaker names in LIAR statements are replaced with generic attributions in all agent-visible text, so the simulation never generates novel false associations about identifiable individuals. From PHEME we redistribute derived topology statistics only, never tweet content. No new human data is collected; the human coding in §5.6 is performed by the research team on model-generated text.</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0080"/>
      </w:tblGrid>
      <w:tr>
        <w:trPr>
          <w:tblHeader w:val="false"/>
        </w:trPr>
        <w:tc>
          <w:tcPr>
            <w:tcW w:type="dxa" w:w="10080"/>
            <w:shd w:fill="FDF3E7" w:color="auto" w:val="clear"/>
            <w:tcMar>
              <w:top w:type="dxa" w:w="70"/>
              <w:left w:type="dxa" w:w="110"/>
              <w:bottom w:type="dxa" w:w="70"/>
              <w:right w:type="dxa" w:w="110"/>
            </w:tcMar>
          </w:tcPr>
          <w:p>
            <w:pPr>
              <w:spacing w:after="60" w:line="260"/>
            </w:pPr>
            <w:r>
              <w:rPr>
                <w:rFonts w:ascii="Calibri" w:cs="Calibri" w:eastAsia="Calibri" w:hAnsi="Calibri"/>
                <w:b/>
                <w:bCs/>
                <w:color w:val="8A4B08"/>
                <w:sz w:val="20"/>
                <w:szCs w:val="20"/>
              </w:rPr>
              <w:t xml:space="preserve">v2.1 — de-identification is harder than it looks, and is now a tested property</w:t>
            </w:r>
          </w:p>
          <w:p>
            <w:pPr>
              <w:spacing w:after="60" w:line="260"/>
            </w:pPr>
            <w:r>
              <w:rPr>
                <w:rFonts w:ascii="Calibri" w:cs="Calibri" w:eastAsia="Calibri" w:hAnsi="Calibri"/>
                <w:color w:val="1A1A1A"/>
                <w:sz w:val="20"/>
                <w:szCs w:val="20"/>
              </w:rPr>
              <w:t xml:space="preserve">Replacing names from LIAR's speaker column is not sufficient: it removes the person who made each statement, but statements overwhelmingly refer to other public figures, and those survive. Measured leakage on that approach is 5.8% of statements.</w:t>
            </w:r>
          </w:p>
          <w:p>
            <w:pPr>
              <w:spacing w:after="60" w:line="260"/>
            </w:pPr>
            <w:r>
              <w:rPr>
                <w:rFonts w:ascii="Calibri" w:cs="Calibri" w:eastAsia="Calibri" w:hAnsi="Calibri"/>
                <w:color w:val="1A1A1A"/>
                <w:sz w:val="20"/>
                <w:szCs w:val="20"/>
              </w:rPr>
              <w:t xml:space="preserve">Adding a surname pass drives leakage to zero but over-corrects badly, because roughly a third of LIAR's speaker column is organisations, PACs and newspapers rather than people — taking their last token as a surname turns "the big Wall Street banks" into three stacked generic attributions and destroys the claim. Filtering organisation-shaped speakers gives 0.00% residual leakage at 11% of tokens replaced, with ordinary noun phrases intact.</w:t>
            </w:r>
          </w:p>
          <w:p>
            <w:pPr>
              <w:spacing w:after="60" w:line="260"/>
            </w:pPr>
            <w:r>
              <w:rPr>
                <w:rFonts w:ascii="Calibri" w:cs="Calibri" w:eastAsia="Calibri" w:hAnsi="Calibri"/>
                <w:color w:val="1A1A1A"/>
                <w:sz w:val="20"/>
                <w:szCs w:val="20"/>
              </w:rPr>
              <w:t xml:space="preserve">Both directions are now enforced by tests rather than left as an intention, because both failures are silent: the first leaks names into agent-visible text, the second feeds the agents nonsense and would degrade every behavioural measure without ever raising an error.</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7. Codebase and Technical Stack</w:t>
      </w:r>
    </w:p>
    <w:p>
      <w:pPr>
        <w:spacing w:after="140" w:line="276"/>
      </w:pPr>
      <w:r>
        <w:rPr>
          <w:rFonts w:ascii="Calibri" w:cs="Calibri" w:eastAsia="Calibri" w:hAnsi="Calibri"/>
          <w:b/>
          <w:bCs/>
          <w:color w:val="1A1A1A"/>
          <w:sz w:val="21"/>
          <w:szCs w:val="21"/>
        </w:rPr>
        <w:t xml:space="preserve">Primary engine. </w:t>
      </w:r>
      <w:r>
        <w:rPr>
          <w:rFonts w:ascii="Calibri" w:cs="Calibri" w:eastAsia="Calibri" w:hAnsi="Calibri"/>
          <w:color w:val="1A1A1A"/>
          <w:sz w:val="21"/>
          <w:szCs w:val="21"/>
        </w:rPr>
        <w:t xml:space="preserve">A purpose-built, lightweight asyncio orchestration loop. This is a change from an earlier plan to fork OASIS for the core experiment: OASIS is engineered for populations from hundreds to a million agents, and running it at N = 7 pays its integration overhead while using none of its strengths. The core study instead needs something OASIS does not provide out of the box — a payoff ledger with per-round accounting, cost debiting, and end-of-episode veracity resolution. Building that directly is both faster and easier to unit-test.</w:t>
      </w:r>
    </w:p>
    <w:p>
      <w:pPr>
        <w:spacing w:after="140" w:line="276"/>
      </w:pPr>
      <w:r>
        <w:t xml:space="preserve">OASIS is retained where it is actually the right tool: the N = 50 scale check (§5.8) runs on OASIS with an identical logging schema, so the two phases produce interoperable data. This is a deliberate right-tool-for-the-job split rather than a fallback.</w:t>
      </w:r>
    </w:p>
    <w:p>
      <w:pPr>
        <w:spacing w:after="140" w:line="276"/>
      </w:pPr>
      <w:r>
        <w:rPr>
          <w:rFonts w:ascii="Calibri" w:cs="Calibri" w:eastAsia="Calibri" w:hAnsi="Calibri"/>
          <w:b/>
          <w:bCs/>
          <w:color w:val="1A1A1A"/>
          <w:sz w:val="21"/>
          <w:szCs w:val="21"/>
        </w:rPr>
        <w:t xml:space="preserve">Models. </w:t>
      </w:r>
      <w:r>
        <w:rPr>
          <w:rFonts w:ascii="Calibri" w:cs="Calibri" w:eastAsia="Calibri" w:hAnsi="Calibri"/>
          <w:color w:val="1A1A1A"/>
          <w:sz w:val="21"/>
          <w:szCs w:val="21"/>
        </w:rPr>
        <w:t xml:space="preserve">Four cost-efficient families as citizen backbones (F3). A separate, stronger judge model — distinct from every citizen backbone — for trace classification and manipulation checks, to avoid a model grading its own output. Open-weights citizens served via vLLM.</w:t>
      </w:r>
    </w:p>
    <w:p>
      <w:pPr>
        <w:spacing w:after="140" w:line="276"/>
      </w:pPr>
      <w:r>
        <w:rPr>
          <w:rFonts w:ascii="Calibri" w:cs="Calibri" w:eastAsia="Calibri" w:hAnsi="Calibri"/>
          <w:b/>
          <w:bCs/>
          <w:color w:val="1A1A1A"/>
          <w:sz w:val="21"/>
          <w:szCs w:val="21"/>
        </w:rPr>
        <w:t xml:space="preserve">Stack. </w:t>
      </w:r>
      <w:r>
        <w:rPr>
          <w:rFonts w:ascii="Calibri" w:cs="Calibri" w:eastAsia="Calibri" w:hAnsi="Calibri"/>
          <w:color w:val="1A1A1A"/>
          <w:sz w:val="21"/>
          <w:szCs w:val="21"/>
        </w:rPr>
        <w:t xml:space="preserve">Python 3.11 · Hugging Face datasets · NetworkX (topology) · pandas / Parquet (logs) · statsmodels and lifelines (analysis) · Matplotlib (figures) · YAML configs with pinned seeds.</w:t>
      </w:r>
    </w:p>
    <w:p>
      <w:pPr>
        <w:spacing w:after="140" w:line="276"/>
      </w:pPr>
      <w:r>
        <w:rPr>
          <w:rFonts w:ascii="Calibri" w:cs="Calibri" w:eastAsia="Calibri" w:hAnsi="Calibri"/>
          <w:b/>
          <w:bCs/>
          <w:color w:val="1A1A1A"/>
          <w:sz w:val="21"/>
          <w:szCs w:val="21"/>
        </w:rPr>
        <w:t xml:space="preserve">Status. </w:t>
      </w:r>
      <w:r>
        <w:rPr>
          <w:rFonts w:ascii="Calibri" w:cs="Calibri" w:eastAsia="Calibri" w:hAnsi="Calibri"/>
          <w:color w:val="1A1A1A"/>
          <w:sz w:val="21"/>
          <w:szCs w:val="21"/>
        </w:rPr>
        <w:t xml:space="preserve">A reference implementation of this layout exists, passes 107 tests including hand-computed payoff-ledger checks, and reproduces the full grid with one command. The 16-week schedule in §9 begins from that engine. Nothing in the game, metrics or analysis layers depends on which model — or whether any model — supplies the citizen policies, so swapping the four backbones in is a configuration change.</w:t>
      </w:r>
    </w:p>
    <w:tbl>
      <w:tblPr>
        <w:tblW w:type="dxa" w:w="10080"/>
        <w:tblBorders>
          <w:top w:val="single" w:color="D8DEE6" w:sz="2"/>
          <w:left w:val="single" w:color="D8DEE6" w:sz="2"/>
          <w:bottom w:val="single" w:color="D8DEE6" w:sz="2"/>
          <w:right w:val="single" w:color="D8DEE6" w:sz="2"/>
          <w:insideH w:val="none"/>
          <w:insideV w:val="none"/>
        </w:tblBorders>
      </w:tblPr>
      <w:tblGrid>
        <w:gridCol w:w="10080"/>
      </w:tblGrid>
      <w:tr>
        <w:tc>
          <w:tcPr>
            <w:tcW w:type="dxa" w:w="10080"/>
            <w:shd w:fill="F6F8FA" w:color="auto" w:val="clear"/>
            <w:tcMar>
              <w:top w:type="dxa" w:w="100"/>
              <w:left w:type="dxa" w:w="140"/>
              <w:bottom w:type="dxa" w:w="100"/>
              <w:right w:type="dxa" w:w="140"/>
            </w:tcMar>
          </w:tcPr>
          <w:p>
            <w:pPr>
              <w:spacing w:after="0" w:line="240"/>
            </w:pPr>
            <w:r>
              <w:rPr>
                <w:rFonts w:ascii="Consolas" w:cs="Consolas" w:eastAsia="Consolas" w:hAnsi="Consolas"/>
                <w:color w:val="1A1A1A"/>
                <w:sz w:val="18"/>
                <w:szCs w:val="18"/>
              </w:rPr>
              <w:t xml:space="preserve">nudgesim/</w:t>
            </w:r>
          </w:p>
          <w:p>
            <w:pPr>
              <w:spacing w:after="0" w:line="240"/>
            </w:pPr>
            <w:r>
              <w:rPr>
                <w:rFonts w:ascii="Consolas" w:cs="Consolas" w:eastAsia="Consolas" w:hAnsi="Consolas"/>
                <w:color w:val="1A1A1A"/>
                <w:sz w:val="18"/>
                <w:szCs w:val="18"/>
              </w:rPr>
              <w:t xml:space="preserve">├─ configs/          # experiment grid, seeds, payoff parameters (YAML)</w:t>
            </w:r>
          </w:p>
          <w:p>
            <w:pPr>
              <w:spacing w:after="0" w:line="240"/>
            </w:pPr>
            <w:r>
              <w:rPr>
                <w:rFonts w:ascii="Consolas" w:cs="Consolas" w:eastAsia="Consolas" w:hAnsi="Consolas"/>
                <w:color w:val="1A1A1A"/>
                <w:sz w:val="18"/>
                <w:szCs w:val="18"/>
              </w:rPr>
              <w:t xml:space="preserve">├─ data/</w:t>
            </w:r>
          </w:p>
          <w:p>
            <w:pPr>
              <w:spacing w:after="0" w:line="240"/>
            </w:pPr>
            <w:r>
              <w:rPr>
                <w:rFonts w:ascii="Consolas" w:cs="Consolas" w:eastAsia="Consolas" w:hAnsi="Consolas"/>
                <w:color w:val="1A1A1A"/>
                <w:sz w:val="18"/>
                <w:szCs w:val="18"/>
              </w:rPr>
              <w:t xml:space="preserve">│   ├─ liar/         # claim-pool builder (severity/topic stratification, de-ID)</w:t>
            </w:r>
          </w:p>
          <w:p>
            <w:pPr>
              <w:spacing w:after="0" w:line="240"/>
            </w:pPr>
            <w:r>
              <w:rPr>
                <w:rFonts w:ascii="Consolas" w:cs="Consolas" w:eastAsia="Consolas" w:hAnsi="Consolas"/>
                <w:color w:val="1A1A1A"/>
                <w:sz w:val="18"/>
                <w:szCs w:val="18"/>
              </w:rPr>
              <w:t xml:space="preserve">│   └─ pheme/        # reply-tree parsing → 7-node motifs + cascade statistics</w:t>
            </w:r>
          </w:p>
          <w:p>
            <w:pPr>
              <w:spacing w:after="0" w:line="240"/>
            </w:pPr>
            <w:r>
              <w:rPr>
                <w:rFonts w:ascii="Consolas" w:cs="Consolas" w:eastAsia="Consolas" w:hAnsi="Consolas"/>
                <w:color w:val="1A1A1A"/>
                <w:sz w:val="18"/>
                <w:szCs w:val="18"/>
              </w:rPr>
              <w:t xml:space="preserve">├─ src/</w:t>
            </w:r>
          </w:p>
          <w:p>
            <w:pPr>
              <w:spacing w:after="0" w:line="240"/>
            </w:pPr>
            <w:r>
              <w:rPr>
                <w:rFonts w:ascii="Consolas" w:cs="Consolas" w:eastAsia="Consolas" w:hAnsi="Consolas"/>
                <w:color w:val="1A1A1A"/>
                <w:sz w:val="18"/>
                <w:szCs w:val="18"/>
              </w:rPr>
              <w:t xml:space="preserve">│   ├─ game/         # action space, payoff ledger, equilibrium reference (UNIT-TESTED)</w:t>
            </w:r>
          </w:p>
          <w:p>
            <w:pPr>
              <w:spacing w:after="0" w:line="240"/>
            </w:pPr>
            <w:r>
              <w:rPr>
                <w:rFonts w:ascii="Consolas" w:cs="Consolas" w:eastAsia="Consolas" w:hAnsi="Consolas"/>
                <w:color w:val="1A1A1A"/>
                <w:sz w:val="18"/>
                <w:szCs w:val="18"/>
              </w:rPr>
              <w:t xml:space="preserve">│   ├─ agents/       # persona suites (A1/A2, B1/B2, C, disseminator, intervener)</w:t>
            </w:r>
          </w:p>
          <w:p>
            <w:pPr>
              <w:spacing w:after="0" w:line="240"/>
            </w:pPr>
            <w:r>
              <w:rPr>
                <w:rFonts w:ascii="Consolas" w:cs="Consolas" w:eastAsia="Consolas" w:hAnsi="Consolas"/>
                <w:color w:val="1A1A1A"/>
                <w:sz w:val="18"/>
                <w:szCs w:val="18"/>
              </w:rPr>
              <w:t xml:space="preserve">│   ├─ backends/     # provider-agnostic LLM interface + response cache</w:t>
            </w:r>
          </w:p>
          <w:p>
            <w:pPr>
              <w:spacing w:after="0" w:line="240"/>
            </w:pPr>
            <w:r>
              <w:rPr>
                <w:rFonts w:ascii="Consolas" w:cs="Consolas" w:eastAsia="Consolas" w:hAnsi="Consolas"/>
                <w:color w:val="1A1A1A"/>
                <w:sz w:val="18"/>
                <w:szCs w:val="18"/>
              </w:rPr>
              <w:t xml:space="preserve">│   ├─ env/          # asyncio episode loop + termination guards</w:t>
            </w:r>
          </w:p>
          <w:p>
            <w:pPr>
              <w:spacing w:after="0" w:line="240"/>
            </w:pPr>
            <w:r>
              <w:rPr>
                <w:rFonts w:ascii="Consolas" w:cs="Consolas" w:eastAsia="Consolas" w:hAnsi="Consolas"/>
                <w:color w:val="1A1A1A"/>
                <w:sz w:val="18"/>
                <w:szCs w:val="18"/>
              </w:rPr>
              <w:t xml:space="preserve">│   ├─ oasis/        # N=50 scale-check adapter, shared logging schema</w:t>
            </w:r>
          </w:p>
          <w:p>
            <w:pPr>
              <w:spacing w:after="0" w:line="240"/>
            </w:pPr>
            <w:r>
              <w:rPr>
                <w:rFonts w:ascii="Consolas" w:cs="Consolas" w:eastAsia="Consolas" w:hAnsi="Consolas"/>
                <w:color w:val="1A1A1A"/>
                <w:sz w:val="18"/>
                <w:szCs w:val="18"/>
              </w:rPr>
              <w:t xml:space="preserve">│   ├─ intervention/ # timing × tone scheduler, payload templating</w:t>
            </w:r>
          </w:p>
          <w:p>
            <w:pPr>
              <w:spacing w:after="0" w:line="240"/>
            </w:pPr>
            <w:r>
              <w:rPr>
                <w:rFonts w:ascii="Consolas" w:cs="Consolas" w:eastAsia="Consolas" w:hAnsi="Consolas"/>
                <w:color w:val="1A1A1A"/>
                <w:sz w:val="18"/>
                <w:szCs w:val="18"/>
              </w:rPr>
              <w:t xml:space="preserve">│   └─ metrics/      # action-log metrics, trace classifier, probes</w:t>
            </w:r>
          </w:p>
          <w:p>
            <w:pPr>
              <w:spacing w:after="0" w:line="240"/>
            </w:pPr>
            <w:r>
              <w:rPr>
                <w:rFonts w:ascii="Consolas" w:cs="Consolas" w:eastAsia="Consolas" w:hAnsi="Consolas"/>
                <w:color w:val="1A1A1A"/>
                <w:sz w:val="18"/>
                <w:szCs w:val="18"/>
              </w:rPr>
              <w:t xml:space="preserve">├─ analysis/         # preregistered models, survival analysis, power, figures</w:t>
            </w:r>
          </w:p>
          <w:p>
            <w:pPr>
              <w:spacing w:after="0" w:line="240"/>
            </w:pPr>
            <w:r>
              <w:rPr>
                <w:rFonts w:ascii="Consolas" w:cs="Consolas" w:eastAsia="Consolas" w:hAnsi="Consolas"/>
                <w:color w:val="1A1A1A"/>
                <w:sz w:val="18"/>
                <w:szCs w:val="18"/>
              </w:rPr>
              <w:t xml:space="preserve">└─ runs/             # JSONL episode logs → versioned Parquet</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8. Analysis Plan</w:t>
      </w:r>
    </w:p>
    <w:p>
      <w:pPr>
        <w:spacing w:after="140" w:line="276"/>
      </w:pPr>
      <w:r>
        <w:rPr>
          <w:rFonts w:ascii="Calibri" w:cs="Calibri" w:eastAsia="Calibri" w:hAnsi="Calibri"/>
          <w:b/>
          <w:bCs/>
          <w:color w:val="1A1A1A"/>
          <w:sz w:val="21"/>
          <w:szCs w:val="21"/>
        </w:rPr>
        <w:t xml:space="preserve">Primary. </w:t>
      </w:r>
      <w:r>
        <w:rPr>
          <w:rFonts w:ascii="Calibri" w:cs="Calibri" w:eastAsia="Calibri" w:hAnsi="Calibri"/>
          <w:color w:val="1A1A1A"/>
          <w:sz w:val="21"/>
          <w:szCs w:val="21"/>
        </w:rPr>
        <w:t xml:space="preserve">Mixed-effects models on episode-level cumulative FPR and EPC, with fixed effects for timing × tone × backbone, random intercepts for claim, topology and seed block, and intervener reach as a covariate (§5.2). Dunnett contrasts of each treatment cell against its own-model control — pooling controls across backbones would confound the intervention effect with backbone differences, which H5 says may be the larger of the two.</w:t>
      </w:r>
    </w:p>
    <w:p>
      <w:pPr>
        <w:spacing w:after="140" w:line="276"/>
      </w:pPr>
      <w:r>
        <w:rPr>
          <w:rFonts w:ascii="Calibri" w:cs="Calibri" w:eastAsia="Calibri" w:hAnsi="Calibri"/>
          <w:b/>
          <w:bCs/>
          <w:color w:val="1A1A1A"/>
          <w:sz w:val="21"/>
          <w:szCs w:val="21"/>
        </w:rPr>
        <w:t xml:space="preserve">Headline test (H3). </w:t>
      </w:r>
      <w:r>
        <w:rPr>
          <w:rFonts w:ascii="Calibri" w:cs="Calibri" w:eastAsia="Calibri" w:hAnsi="Calibri"/>
          <w:color w:val="1A1A1A"/>
          <w:sz w:val="21"/>
          <w:szCs w:val="21"/>
        </w:rPr>
        <w:t xml:space="preserve">Sign and significance of the tone effect on EPC relative to control, tested separately from the tone effect on FPR, and estimated on the focused arm rather than the core grid. A dissociation — aggressive tone lowering FPR while also lowering EPC — is the paper's central claim if it holds.</w:t>
      </w:r>
    </w:p>
    <w:p>
      <w:pPr>
        <w:spacing w:after="140" w:line="276"/>
      </w:pPr>
      <w:r>
        <w:rPr>
          <w:rFonts w:ascii="Calibri" w:cs="Calibri" w:eastAsia="Calibri" w:hAnsi="Calibri"/>
          <w:b/>
          <w:bCs/>
          <w:color w:val="1A1A1A"/>
          <w:sz w:val="21"/>
          <w:szCs w:val="21"/>
        </w:rPr>
        <w:t xml:space="preserve">Specificity (RQ5). </w:t>
      </w:r>
      <w:r>
        <w:rPr>
          <w:rFonts w:ascii="Calibri" w:cs="Calibri" w:eastAsia="Calibri" w:hAnsi="Calibri"/>
          <w:color w:val="1A1A1A"/>
          <w:sz w:val="21"/>
          <w:szCs w:val="21"/>
        </w:rPr>
        <w:t xml:space="preserve">Two preregistered contrasts, not one: the pooled treated-versus-control comparison, and the same comparison conditional on the intervener having actually fired. Pooling alone averages the intervener's false alarms together with the episodes where it correctly stayed silent, and those carry opposite information.</w:t>
      </w:r>
    </w:p>
    <w:p>
      <w:pPr>
        <w:spacing w:after="140" w:line="276"/>
      </w:pPr>
      <w:r>
        <w:rPr>
          <w:rFonts w:ascii="Calibri" w:cs="Calibri" w:eastAsia="Calibri" w:hAnsi="Calibri"/>
          <w:b/>
          <w:bCs/>
          <w:color w:val="1A1A1A"/>
          <w:sz w:val="21"/>
          <w:szCs w:val="21"/>
        </w:rPr>
        <w:t xml:space="preserve">Model dependence (H5). </w:t>
      </w:r>
      <w:r>
        <w:rPr>
          <w:rFonts w:ascii="Calibri" w:cs="Calibri" w:eastAsia="Calibri" w:hAnsi="Calibri"/>
          <w:color w:val="1A1A1A"/>
          <w:sz w:val="21"/>
          <w:szCs w:val="21"/>
        </w:rPr>
        <w:t xml:space="preserve">Variance decomposition comparing between-model and between-condition effect sizes; three-way interaction test.</w:t>
      </w:r>
    </w:p>
    <w:p>
      <w:pPr>
        <w:spacing w:after="140" w:line="276"/>
      </w:pPr>
      <w:r>
        <w:rPr>
          <w:rFonts w:ascii="Calibri" w:cs="Calibri" w:eastAsia="Calibri" w:hAnsi="Calibri"/>
          <w:b/>
          <w:bCs/>
          <w:color w:val="1A1A1A"/>
          <w:sz w:val="21"/>
          <w:szCs w:val="21"/>
        </w:rPr>
        <w:t xml:space="preserve">Durability. </w:t>
      </w:r>
      <w:r>
        <w:rPr>
          <w:rFonts w:ascii="Calibri" w:cs="Calibri" w:eastAsia="Calibri" w:hAnsi="Calibri"/>
          <w:color w:val="1A1A1A"/>
          <w:sz w:val="21"/>
          <w:szCs w:val="21"/>
        </w:rPr>
        <w:t xml:space="preserve">Area under the post-intervention FPR curve as the primary measure; Kaplan–Meier curves and log-rank tests on the relative-threshold half-life as secondary (§5.5).</w:t>
      </w:r>
    </w:p>
    <w:p>
      <w:pPr>
        <w:spacing w:after="140" w:line="276"/>
      </w:pPr>
      <w:r>
        <w:rPr>
          <w:rFonts w:ascii="Calibri" w:cs="Calibri" w:eastAsia="Calibri" w:hAnsi="Calibri"/>
          <w:b/>
          <w:bCs/>
          <w:color w:val="1A1A1A"/>
          <w:sz w:val="21"/>
          <w:szCs w:val="21"/>
        </w:rPr>
        <w:t xml:space="preserve">Inference hygiene. </w:t>
      </w:r>
      <w:r>
        <w:rPr>
          <w:rFonts w:ascii="Calibri" w:cs="Calibri" w:eastAsia="Calibri" w:hAnsi="Calibri"/>
          <w:color w:val="1A1A1A"/>
          <w:sz w:val="21"/>
          <w:szCs w:val="21"/>
        </w:rPr>
        <w:t xml:space="preserve">Bootstrap 95% CIs, Holm correction within each outcome family, effect sizes (partial η², Cohen's d, odds ratios) reported alongside p-values.</w:t>
      </w:r>
    </w:p>
    <w:p>
      <w:pPr>
        <w:spacing w:after="140" w:line="276"/>
      </w:pPr>
      <w:r>
        <w:rPr>
          <w:rFonts w:ascii="Calibri" w:cs="Calibri" w:eastAsia="Calibri" w:hAnsi="Calibri"/>
          <w:b/>
          <w:bCs/>
          <w:color w:val="1A1A1A"/>
          <w:sz w:val="21"/>
          <w:szCs w:val="21"/>
        </w:rPr>
        <w:t xml:space="preserve">Robustness. </w:t>
      </w:r>
      <w:r>
        <w:rPr>
          <w:rFonts w:ascii="Calibri" w:cs="Calibri" w:eastAsia="Calibri" w:hAnsi="Calibri"/>
          <w:color w:val="1A1A1A"/>
          <w:sz w:val="21"/>
          <w:szCs w:val="21"/>
        </w:rPr>
        <w:t xml:space="preserve">Payoff-visibility ablation, β/γ sweep, topology type, intervener reach, claim severity, decoding temperature, judge swap, and human-validated κ for every judge-dependent measure.</w:t>
      </w:r>
    </w:p>
    <w:p>
      <w:pPr>
        <w:spacing w:after="140" w:line="276"/>
      </w:pPr>
      <w:r>
        <w:rPr>
          <w:rFonts w:ascii="Calibri" w:cs="Calibri" w:eastAsia="Calibri" w:hAnsi="Calibri"/>
          <w:b/>
          <w:bCs/>
          <w:color w:val="1A1A1A"/>
          <w:sz w:val="21"/>
          <w:szCs w:val="21"/>
        </w:rPr>
        <w:t xml:space="preserve">Power (new in v2.1). </w:t>
      </w:r>
      <w:r>
        <w:rPr>
          <w:rFonts w:ascii="Calibri" w:cs="Calibri" w:eastAsia="Calibri" w:hAnsi="Calibri"/>
          <w:color w:val="1A1A1A"/>
          <w:sz w:val="21"/>
          <w:szCs w:val="21"/>
        </w:rPr>
        <w:t xml:space="preserve">The analysis plan now carries an explicit power statement for every primary contrast, computed from the Month-2 pilot and frozen with the preregistration. A contrast whose 80%-power requirement exceeds its allocated sample is declared exploratory before the grid runs, not reinterpreted afterwards. The pilot's power analysis is itself a deliverable of the Week-8 gate.</w:t>
      </w:r>
    </w:p>
    <w:p>
      <w:pPr>
        <w:spacing w:after="140" w:line="276"/>
      </w:pPr>
      <w:r>
        <w:rPr>
          <w:rFonts w:ascii="Calibri" w:cs="Calibri" w:eastAsia="Calibri" w:hAnsi="Calibri"/>
          <w:b/>
          <w:bCs/>
          <w:color w:val="1A1A1A"/>
          <w:sz w:val="21"/>
          <w:szCs w:val="21"/>
        </w:rPr>
        <w:t xml:space="preserve">Preregistration. </w:t>
      </w:r>
      <w:r>
        <w:rPr>
          <w:rFonts w:ascii="Calibri" w:cs="Calibri" w:eastAsia="Calibri" w:hAnsi="Calibri"/>
          <w:color w:val="1A1A1A"/>
          <w:sz w:val="21"/>
          <w:szCs w:val="21"/>
        </w:rPr>
        <w:t xml:space="preserve">The full analysis plan, including the primary/secondary split, the confirmatory/exploratory tiering, the power statement and all stopping rules, is frozen on OSF at the end of Month 2, before any main-grid run.</w:t>
      </w:r>
    </w:p>
    <w:p>
      <w:pPr>
        <w:pStyle w:val="Heading1"/>
        <w:pBdr>
          <w:bottom w:val="single" w:color="C9D6E4" w:sz="6" w:space="6"/>
        </w:pBdr>
        <w:spacing w:after="160" w:before="360"/>
      </w:pPr>
      <w:r>
        <w:rPr>
          <w:rFonts w:ascii="Calibri" w:cs="Calibri" w:eastAsia="Calibri" w:hAnsi="Calibri"/>
          <w:b/>
          <w:bCs/>
          <w:color w:val="1F4E79"/>
          <w:sz w:val="32"/>
          <w:szCs w:val="32"/>
        </w:rPr>
        <w:t xml:space="preserve">9. Execution Timeline (16 Weeks)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1210"/>
        <w:gridCol w:w="1008"/>
        <w:gridCol w:w="4435"/>
        <w:gridCol w:w="3427"/>
      </w:tblGrid>
      <w:tr>
        <w:trPr>
          <w:tblHeader/>
        </w:trPr>
        <w:tc>
          <w:tcPr>
            <w:tcW w:type="dxa" w:w="1210"/>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Month</w:t>
            </w:r>
          </w:p>
        </w:tc>
        <w:tc>
          <w:tcPr>
            <w:tcW w:type="dxa" w:w="1008"/>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Weeks</w:t>
            </w:r>
          </w:p>
        </w:tc>
        <w:tc>
          <w:tcPr>
            <w:tcW w:type="dxa" w:w="4435"/>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Objectives</w:t>
            </w:r>
          </w:p>
        </w:tc>
        <w:tc>
          <w:tcPr>
            <w:tcW w:type="dxa" w:w="3427"/>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Deliverables / gates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1 — Game engine &amp; agents</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W1–W4</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Port and harden the reference engine: action space, payoff ledger, episode loop. Build LIAR claim pool (stratification, de-identification) and PHEME motif parser. Finalise and freeze persona and intervener prompt suites; fix the four backbones.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Repo v0.1 with data cards. Gate: payoff ledger passes hand-computed unit tests; de-identification passes its leakage and over-redaction tests. Frozen, versioned prompt suites.</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2 — Calibration, pilot &amp; prereg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W5–W8</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Run control baselines and compare cascade statistics to PHEME and to the false-vs-true diffusion asymmetry. Pilot five episodes per cell on all four backbones. Human-code 300 reasoning traces and validate the classifier. Tune timing thresholds and freeze them. Compute the power analysis and fix the confirmatory/exploratory tiering.</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Go/No-Go: calibration within tolerance band, stable episodes, classifier κ ≥ 0.7. NEW GATE: power analysis complete and every confirmatory contrast adequately powered at its allocated sample, or demoted. OSF preregistration filed. Pilot report.</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3 — Main grid &amp; scale check</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W9–W12</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Execute the core grid, the focused arm, the placebo arm and both ablations (2,780 episodes). Run the N = 50 OASIS scale check. Aggregate into analysis-ready DataFrames.</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Complete raw-log archive. Versioned results Parquet. Scale-check comparison table.</w:t>
            </w:r>
          </w:p>
        </w:tc>
      </w:tr>
      <w:tr>
        <w:trPr>
          <w:tblHeader w:val="false"/>
        </w:trPr>
        <w:tc>
          <w:tcPr>
            <w:tcW w:type="dxa" w:w="1210"/>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4 — Synthesis &amp; writing</w:t>
            </w:r>
          </w:p>
        </w:tc>
        <w:tc>
          <w:tcPr>
            <w:tcW w:type="dxa" w:w="1008"/>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W13–W16</w:t>
            </w:r>
          </w:p>
        </w:tc>
        <w:tc>
          <w:tcPr>
            <w:tcW w:type="dxa" w:w="4435"/>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Statistical analysis against the preregistered plan; figure generation. Draft manuscript; revision cycle with Prof. Jin in W14–W15. Prepare framework release, data cards, and ethics statement.</w:t>
            </w:r>
          </w:p>
        </w:tc>
        <w:tc>
          <w:tcPr>
            <w:tcW w:type="dxa" w:w="3427"/>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NudgeSim v1.0 public release with one-command reproduction. arXiv preprint. Workshop-length paper submitted.</w:t>
            </w:r>
          </w:p>
        </w:tc>
      </w:tr>
    </w:tbl>
    <w:p>
      <w:pPr>
        <w:spacing w:after="140" w:line="276"/>
      </w:pPr>
      <w:r>
        <w:rPr>
          <w:rFonts w:ascii="Calibri" w:cs="Calibri" w:eastAsia="Calibri" w:hAnsi="Calibri"/>
          <w:b/>
          <w:bCs/>
          <w:color w:val="1A1A1A"/>
          <w:sz w:val="21"/>
          <w:szCs w:val="21"/>
        </w:rPr>
        <w:t xml:space="preserve">A note on scope honesty. </w:t>
      </w:r>
      <w:r>
        <w:rPr>
          <w:rFonts w:ascii="Calibri" w:cs="Calibri" w:eastAsia="Calibri" w:hAnsi="Calibri"/>
          <w:color w:val="1A1A1A"/>
          <w:sz w:val="21"/>
          <w:szCs w:val="21"/>
        </w:rPr>
        <w:t xml:space="preserve">Sixteen weeks covering engine construction, a calibration gate, human coding, a 2,780-episode grid, a scale check, and a full main-track manuscript would be an over-promise. The plan therefore treats a workshop paper, the preprint, and the open framework as the in-scope deliverables, with the extended main-track version — additional backbones, larger scale check, richer intervener policies — as the immediate follow-on in months 5–7. Stating this up front is preferable to discovering it in week 14.</w:t>
      </w:r>
    </w:p>
    <w:p>
      <w:pPr>
        <w:spacing w:after="140" w:line="276"/>
      </w:pPr>
      <w:r>
        <w:rPr>
          <w:rFonts w:ascii="Calibri" w:cs="Calibri" w:eastAsia="Calibri" w:hAnsi="Calibri"/>
          <w:b/>
          <w:bCs/>
          <w:color w:val="1A1A1A"/>
          <w:sz w:val="21"/>
          <w:szCs w:val="21"/>
        </w:rPr>
        <w:t xml:space="preserve">What v2.1 buys back. </w:t>
      </w:r>
      <w:r>
        <w:rPr>
          <w:rFonts w:ascii="Calibri" w:cs="Calibri" w:eastAsia="Calibri" w:hAnsi="Calibri"/>
          <w:color w:val="1A1A1A"/>
          <w:sz w:val="21"/>
          <w:szCs w:val="21"/>
        </w:rPr>
        <w:t xml:space="preserve">Because the engine already exists and is tested, Month 1 is a hardening-and-porting month rather than a build-from-scratch month, which is what makes the larger grid fit inside the same sixteen weeks.</w:t>
      </w:r>
    </w:p>
    <w:p>
      <w:pPr>
        <w:pStyle w:val="Heading1"/>
        <w:pBdr>
          <w:bottom w:val="single" w:color="C9D6E4" w:sz="6" w:space="6"/>
        </w:pBdr>
        <w:spacing w:after="160" w:before="360"/>
      </w:pPr>
      <w:r>
        <w:rPr>
          <w:rFonts w:ascii="Calibri" w:cs="Calibri" w:eastAsia="Calibri" w:hAnsi="Calibri"/>
          <w:b/>
          <w:bCs/>
          <w:color w:val="1F4E79"/>
          <w:sz w:val="32"/>
          <w:szCs w:val="32"/>
        </w:rPr>
        <w:t xml:space="preserve">10. Venue Strategy</w:t>
      </w:r>
    </w:p>
    <w:p>
      <w:pPr>
        <w:spacing w:after="140" w:line="276"/>
      </w:pPr>
      <w:r>
        <w:rPr>
          <w:rFonts w:ascii="Calibri" w:cs="Calibri" w:eastAsia="Calibri" w:hAnsi="Calibri"/>
          <w:b/>
          <w:bCs/>
          <w:color w:val="1A1A1A"/>
          <w:sz w:val="21"/>
          <w:szCs w:val="21"/>
        </w:rPr>
        <w:t xml:space="preserve">Near-term (in scope). </w:t>
      </w:r>
      <w:r>
        <w:rPr>
          <w:rFonts w:ascii="Calibri" w:cs="Calibri" w:eastAsia="Calibri" w:hAnsi="Calibri"/>
          <w:color w:val="1A1A1A"/>
          <w:sz w:val="21"/>
          <w:szCs w:val="21"/>
        </w:rPr>
        <w:t xml:space="preserve">A workshop on social agents, multi-agent safety, or computational social science at NeurIPS / ACL / ICWSM 2026, chosen with Prof. Jin — for rapid feedback and to establish the framework publicly. arXiv preprint posted at the end of Month 4.</w:t>
      </w:r>
    </w:p>
    <w:p>
      <w:pPr>
        <w:spacing w:after="140" w:line="276"/>
      </w:pPr>
      <w:r>
        <w:rPr>
          <w:rFonts w:ascii="Calibri" w:cs="Calibri" w:eastAsia="Calibri" w:hAnsi="Calibri"/>
          <w:b/>
          <w:bCs/>
          <w:color w:val="1A1A1A"/>
          <w:sz w:val="21"/>
          <w:szCs w:val="21"/>
        </w:rPr>
        <w:t xml:space="preserve">Main track (immediate follow-on). </w:t>
      </w:r>
      <w:r>
        <w:rPr>
          <w:rFonts w:ascii="Calibri" w:cs="Calibri" w:eastAsia="Calibri" w:hAnsi="Calibri"/>
          <w:color w:val="1A1A1A"/>
          <w:sz w:val="21"/>
          <w:szCs w:val="21"/>
        </w:rPr>
        <w:t xml:space="preserve">ICWSM or CSCW as the strongest topical fit for an intervention study on information cascades; ARR (ACL/EMNLP) framed around LLM agent behaviour under incentives; NeurIPS Datasets &amp; Benchmarks framed around NudgeSim as a testbed. The realistic path to a main-track venue runs through the completed scale check and the full model benchmark, not through the 16-week core alone.</w:t>
      </w:r>
    </w:p>
    <w:p>
      <w:pPr>
        <w:spacing w:after="140" w:line="276"/>
      </w:pPr>
      <w:r>
        <w:rPr>
          <w:rFonts w:ascii="Calibri" w:cs="Calibri" w:eastAsia="Calibri" w:hAnsi="Calibri"/>
          <w:b/>
          <w:bCs/>
          <w:color w:val="1A1A1A"/>
          <w:sz w:val="21"/>
          <w:szCs w:val="21"/>
        </w:rPr>
        <w:t xml:space="preserve">Positioning discipline. </w:t>
      </w:r>
      <w:r>
        <w:rPr>
          <w:rFonts w:ascii="Calibri" w:cs="Calibri" w:eastAsia="Calibri" w:hAnsi="Calibri"/>
          <w:color w:val="1A1A1A"/>
          <w:sz w:val="21"/>
          <w:szCs w:val="21"/>
        </w:rPr>
        <w:t xml:space="preserve">Whichever venue is chosen, the paper is framed as a mechanism study with a benchmark, not as a claim about human behaviour or about deployable persuasion policy.</w:t>
      </w:r>
    </w:p>
    <w:p>
      <w:pPr>
        <w:pStyle w:val="Heading1"/>
        <w:pBdr>
          <w:bottom w:val="single" w:color="C9D6E4" w:sz="6" w:space="6"/>
        </w:pBdr>
        <w:spacing w:after="160" w:before="360"/>
      </w:pPr>
      <w:r>
        <w:rPr>
          <w:rFonts w:ascii="Calibri" w:cs="Calibri" w:eastAsia="Calibri" w:hAnsi="Calibri"/>
          <w:b/>
          <w:bCs/>
          <w:color w:val="1F4E79"/>
          <w:sz w:val="32"/>
          <w:szCs w:val="32"/>
        </w:rPr>
        <w:t xml:space="preserve">11. Ethics and Responsible Release</w:t>
      </w:r>
    </w:p>
    <w:p>
      <w:pPr>
        <w:spacing w:after="140" w:line="276"/>
      </w:pPr>
      <w:r>
        <w:rPr>
          <w:rFonts w:ascii="Calibri" w:cs="Calibri" w:eastAsia="Calibri" w:hAnsi="Calibri"/>
          <w:b/>
          <w:bCs/>
          <w:color w:val="1A1A1A"/>
          <w:sz w:val="21"/>
          <w:szCs w:val="21"/>
        </w:rPr>
        <w:t xml:space="preserve">Simulation only. </w:t>
      </w:r>
      <w:r>
        <w:rPr>
          <w:rFonts w:ascii="Calibri" w:cs="Calibri" w:eastAsia="Calibri" w:hAnsi="Calibri"/>
          <w:color w:val="1A1A1A"/>
          <w:sz w:val="21"/>
          <w:szCs w:val="21"/>
        </w:rPr>
        <w:t xml:space="preserve">No human subjects, no live-platform deployment, no interaction between agents and real users. IRB review is expected to be unnecessary, to be confirmed with the host institution.</w:t>
      </w:r>
    </w:p>
    <w:p>
      <w:pPr>
        <w:spacing w:after="140" w:line="276"/>
      </w:pPr>
      <w:r>
        <w:rPr>
          <w:rFonts w:ascii="Calibri" w:cs="Calibri" w:eastAsia="Calibri" w:hAnsi="Calibri"/>
          <w:b/>
          <w:bCs/>
          <w:color w:val="1A1A1A"/>
          <w:sz w:val="21"/>
          <w:szCs w:val="21"/>
        </w:rPr>
        <w:t xml:space="preserve">No anthropomorphic inference. </w:t>
      </w:r>
      <w:r>
        <w:rPr>
          <w:rFonts w:ascii="Calibri" w:cs="Calibri" w:eastAsia="Calibri" w:hAnsi="Calibri"/>
          <w:color w:val="1A1A1A"/>
          <w:sz w:val="21"/>
          <w:szCs w:val="21"/>
        </w:rPr>
        <w:t xml:space="preserve">Agent actions are outputs of statistical models under a prompt and payoff regime. They are not evidence of belief, intent, or moral reasoning, and the paper will state explicitly that results describe model behaviour under incentives and are not estimates of how humans respond to correction. The exploratory credence probe is reported as a model self-report and is never described as a belief. This is the single most likely reviewer objection to agent-based misinformation work, and the design answers it structurally — by making the primary outcomes actions the agent pays for — rather than by disclaimer alone.</w:t>
      </w:r>
    </w:p>
    <w:p>
      <w:pPr>
        <w:spacing w:after="140" w:line="276"/>
      </w:pPr>
      <w:r>
        <w:rPr>
          <w:rFonts w:ascii="Calibri" w:cs="Calibri" w:eastAsia="Calibri" w:hAnsi="Calibri"/>
          <w:b/>
          <w:bCs/>
          <w:color w:val="1A1A1A"/>
          <w:sz w:val="21"/>
          <w:szCs w:val="21"/>
        </w:rPr>
        <w:t xml:space="preserve">Contained misinformation. </w:t>
      </w:r>
      <w:r>
        <w:rPr>
          <w:rFonts w:ascii="Calibri" w:cs="Calibri" w:eastAsia="Calibri" w:hAnsi="Calibri"/>
          <w:color w:val="1A1A1A"/>
          <w:sz w:val="21"/>
          <w:szCs w:val="21"/>
        </w:rPr>
        <w:t xml:space="preserve">All false claims originate in established research datasets; the pipeline authors no novel misinformation beyond controlled paraphrase, and real speaker names are removed from agent-visible text (§6).</w:t>
      </w:r>
    </w:p>
    <w:p>
      <w:pPr>
        <w:spacing w:after="140" w:line="276"/>
      </w:pPr>
      <w:r>
        <w:rPr>
          <w:rFonts w:ascii="Calibri" w:cs="Calibri" w:eastAsia="Calibri" w:hAnsi="Calibri"/>
          <w:b/>
          <w:bCs/>
          <w:color w:val="1A1A1A"/>
          <w:sz w:val="21"/>
          <w:szCs w:val="21"/>
        </w:rPr>
        <w:t xml:space="preserve">On concealment. </w:t>
      </w:r>
      <w:r>
        <w:rPr>
          <w:rFonts w:ascii="Calibri" w:cs="Calibri" w:eastAsia="Calibri" w:hAnsi="Calibri"/>
          <w:color w:val="1A1A1A"/>
          <w:sz w:val="21"/>
          <w:szCs w:val="21"/>
        </w:rPr>
        <w:t xml:space="preserve">The intervener's in-character, undisclosed-AI persona exists only inside the sandbox. The manuscript discusses why covert deployment of persuasive AI on real platforms raises consent and manipulation concerns, and positions findings as design guidance for transparent, platform-sanctioned interventions.</w:t>
      </w:r>
    </w:p>
    <w:p>
      <w:pPr>
        <w:spacing w:after="140" w:line="276"/>
      </w:pPr>
      <w:r>
        <w:rPr>
          <w:rFonts w:ascii="Calibri" w:cs="Calibri" w:eastAsia="Calibri" w:hAnsi="Calibri"/>
          <w:b/>
          <w:bCs/>
          <w:color w:val="1A1A1A"/>
          <w:sz w:val="21"/>
          <w:szCs w:val="21"/>
        </w:rPr>
        <w:t xml:space="preserve">Dual use. </w:t>
      </w:r>
      <w:r>
        <w:rPr>
          <w:rFonts w:ascii="Calibri" w:cs="Calibri" w:eastAsia="Calibri" w:hAnsi="Calibri"/>
          <w:color w:val="1A1A1A"/>
          <w:sz w:val="21"/>
          <w:szCs w:val="21"/>
        </w:rPr>
        <w:t xml:space="preserve">Evidence about persuasive timing and tone could inform influence operations. Mitigations: report aggregate effects rather than optimised persuasion recipes, centre the release on measurement and defence tooling, and complete the venue ethics checklist.</w:t>
      </w:r>
    </w:p>
    <w:p>
      <w:pPr>
        <w:spacing w:after="140" w:line="276"/>
      </w:pPr>
      <w:r>
        <w:rPr>
          <w:rFonts w:ascii="Calibri" w:cs="Calibri" w:eastAsia="Calibri" w:hAnsi="Calibri"/>
          <w:b/>
          <w:bCs/>
          <w:color w:val="1A1A1A"/>
          <w:sz w:val="21"/>
          <w:szCs w:val="21"/>
        </w:rPr>
        <w:t xml:space="preserve">Provenance discipline (new in v2.1). </w:t>
      </w:r>
      <w:r>
        <w:rPr>
          <w:rFonts w:ascii="Calibri" w:cs="Calibri" w:eastAsia="Calibri" w:hAnsi="Calibri"/>
          <w:color w:val="1A1A1A"/>
          <w:sz w:val="21"/>
          <w:szCs w:val="21"/>
        </w:rPr>
        <w:t xml:space="preserve">Every artefact records whether it came from the real corpora or from surrogate generators, and whether citizen policies were language models or an analytic stand-in. A run that used neither real data nor real models cannot be presented as a model benchmark, because the label travels with the file. This is an ethics property, not merely hygiene: publishing surrogate numbers as an LLM result is the most likely way this codebase could mislead.</w:t>
      </w:r>
    </w:p>
    <w:p>
      <w:pPr>
        <w:spacing w:after="140" w:line="276"/>
      </w:pPr>
      <w:r>
        <w:rPr>
          <w:rFonts w:ascii="Calibri" w:cs="Calibri" w:eastAsia="Calibri" w:hAnsi="Calibri"/>
          <w:b/>
          <w:bCs/>
          <w:color w:val="1A1A1A"/>
          <w:sz w:val="21"/>
          <w:szCs w:val="21"/>
        </w:rPr>
        <w:t xml:space="preserve">Licensing. </w:t>
      </w:r>
      <w:r>
        <w:rPr>
          <w:rFonts w:ascii="Calibri" w:cs="Calibri" w:eastAsia="Calibri" w:hAnsi="Calibri"/>
          <w:color w:val="1A1A1A"/>
          <w:sz w:val="21"/>
          <w:szCs w:val="21"/>
        </w:rPr>
        <w:t xml:space="preserve">PHEME annotations are CC-BY with tweet content governed by platform terms (derived topology only is released); LIAR is distributed for research use. Neither corpus is redistributed.</w:t>
      </w:r>
    </w:p>
    <w:p>
      <w:pPr>
        <w:pStyle w:val="Heading1"/>
        <w:pBdr>
          <w:bottom w:val="single" w:color="C9D6E4" w:sz="6" w:space="6"/>
        </w:pBdr>
        <w:spacing w:after="160" w:before="360"/>
      </w:pPr>
      <w:r>
        <w:rPr>
          <w:rFonts w:ascii="Calibri" w:cs="Calibri" w:eastAsia="Calibri" w:hAnsi="Calibri"/>
          <w:b/>
          <w:bCs/>
          <w:color w:val="1F4E79"/>
          <w:sz w:val="32"/>
          <w:szCs w:val="32"/>
        </w:rPr>
        <w:t xml:space="preserve">12. Risks and Mitigations</w:t>
      </w:r>
    </w:p>
    <w:tbl>
      <w:tblPr>
        <w:tblW w:type="dxa" w:w="10080"/>
        <w:tblBorders>
          <w:top w:val="single" w:color="C9D6E4" w:sz="4"/>
          <w:left w:val="single" w:color="C9D6E4" w:sz="4"/>
          <w:bottom w:val="single" w:color="C9D6E4" w:sz="4"/>
          <w:right w:val="single" w:color="C9D6E4" w:sz="4"/>
          <w:insideH w:val="single" w:color="DDE5EE" w:sz="2"/>
          <w:insideV w:val="single" w:color="DDE5EE" w:sz="2"/>
        </w:tblBorders>
      </w:tblPr>
      <w:tblGrid>
        <w:gridCol w:w="3629"/>
        <w:gridCol w:w="6451"/>
      </w:tblGrid>
      <w:tr>
        <w:trPr>
          <w:tblHeader/>
        </w:trPr>
        <w:tc>
          <w:tcPr>
            <w:tcW w:type="dxa" w:w="3629"/>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Risk</w:t>
            </w:r>
          </w:p>
        </w:tc>
        <w:tc>
          <w:tcPr>
            <w:tcW w:type="dxa" w:w="6451"/>
            <w:shd w:fill="EEF2F6" w:color="auto" w:val="clear"/>
            <w:tcMar>
              <w:top w:type="dxa" w:w="70"/>
              <w:left w:type="dxa" w:w="110"/>
              <w:bottom w:type="dxa" w:w="70"/>
              <w:right w:type="dxa" w:w="110"/>
            </w:tcMar>
          </w:tcPr>
          <w:p>
            <w:pPr>
              <w:spacing w:after="40" w:line="250"/>
            </w:pPr>
            <w:r>
              <w:rPr>
                <w:rFonts w:ascii="Calibri" w:cs="Calibri" w:eastAsia="Calibri" w:hAnsi="Calibri"/>
                <w:b/>
                <w:bCs/>
                <w:color w:val="1A1A1A"/>
                <w:sz w:val="19"/>
                <w:szCs w:val="19"/>
              </w:rPr>
              <w:t xml:space="preserve">Mitigation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Novelty overlap with MADD and the wider correction-simulation literature</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Delta stated explicitly and defended in §2: payoff formalisation, full factorial with interaction tests, second-order cooperation as the headline outcome, multi-model benchmark, specificity arm. Prior work cited as motivation and calibration, never omitted.</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design cannot detect its own headline effect</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realised risk in v2.0, now mitigated by the two-tier protocol (§5.9) and the Week-8 power gate (§9). Any contrast still under-powered at its allocated sample is declared exploratory before the grid runs.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 headline measure is determined by its own definition</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Also realised in v2.0, for epistemic welfare and for pollution half-life. Both are redefined in §5.5, and the rule going forward is that every primary measure is computed on pilot data and inspected for floor, ceiling and censoring effects before the preregistration is filed.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Payoffs are in the prompt but do not actually drive behaviour</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Ablation 1 (payoff visibility) is designed to detect exactly this. If behaviour is invariant to the payoff structure, that is reported as a substantive finding about LLM agents rather than hidden.</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Null or reversed effect on the crowding-out hypothesis (H3)</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The factorial design, preregistration, placebo arm, calibration gate, and open framework keep the contribution publishable regardless of sign; a clean null on a preregistered dilemma is informative — provided it is a null at adequate power, which is what §5.9 now buys.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Calibration gate fails — control baseline does not reproduce real cascade statistics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Named Week-8 Go/No-Go. Remediation path: adjust neighbourhood visibility and disseminator persistence, re-run. If it still fails, the paper narrows to a within-simulation mechanism claim and drops network-level language.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Judge measurement bias / circularity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Primary outcomes read directly off action logs, never from a judge. Judge model is distinct from all citizen backbones; external classifier for toxicity; human-validated κ reported for every judge-dependent measure.</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Tone confounded with informational content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Identical templated payload across modes, length matching, lexical-overlap check, and a manipulation check on perceived tone validated against human raters.</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Degenerate loops or persona drift</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Hard turn caps, n-gram repetition detectors, automatic termination with flagging, periodic persona reinforcement, and drift statistics reported rather than suppressed.</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Scope overrun in 16 weeks</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In-scope deliverable explicitly set at workshop paper + preprint + framework (§9); main-track version scheduled as follow-on. Week-8 gate is a genuine stop point. The existing engine absorbs most of Month 1.</w:t>
            </w:r>
          </w:p>
        </w:tc>
      </w:tr>
      <w:tr>
        <w:trPr>
          <w:tblHeader w:val="false"/>
        </w:trPr>
        <w:tc>
          <w:tcPr>
            <w:tcW w:type="dxa" w:w="3629"/>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External validity of a 7-agent society</w:t>
            </w:r>
          </w:p>
        </w:tc>
        <w:tc>
          <w:tcPr>
            <w:tcW w:type="dxa" w:w="6451"/>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Positioned as a controlled mechanism study with an explicit payoff benchmark; N = 50 scale check provides directional corroboration; scale-dependence reported as a finding if it appears.</w:t>
            </w:r>
          </w:p>
        </w:tc>
      </w:tr>
      <w:tr>
        <w:trPr>
          <w:tblHeader w:val="false"/>
        </w:trPr>
        <w:tc>
          <w:tcPr>
            <w:tcW w:type="dxa" w:w="3629"/>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API cost after the v2.1 grid increase</w:t>
            </w:r>
          </w:p>
        </w:tc>
        <w:tc>
          <w:tcPr>
            <w:tcW w:type="dxa" w:w="6451"/>
            <w:shd w:fill="FDF3E7" w:color="auto" w:val="clear"/>
            <w:tcMar>
              <w:top w:type="dxa" w:w="70"/>
              <w:left w:type="dxa" w:w="110"/>
              <w:bottom w:type="dxa" w:w="70"/>
              <w:right w:type="dxa" w:w="110"/>
            </w:tcMar>
          </w:tcPr>
          <w:p>
            <w:pPr>
              <w:spacing w:after="40" w:line="250"/>
            </w:pPr>
            <w:r>
              <w:rPr>
                <w:rFonts w:ascii="Calibri" w:cs="Calibri" w:eastAsia="Calibri" w:hAnsi="Calibri"/>
                <w:color w:val="1A1A1A"/>
                <w:sz w:val="19"/>
                <w:szCs w:val="19"/>
              </w:rPr>
              <w:t xml:space="preserve">Lite models, batched async calls, response caching, per-cell cost ceilings, and the pre-declared reduction ladder in §5.9 — which protects H1 and H3 power last, since a study that cannot test its headline hypothesis has no reason to run.</w:t>
            </w:r>
          </w:p>
        </w:tc>
      </w:tr>
    </w:tbl>
    <w:p>
      <w:pPr>
        <w:pStyle w:val="Heading1"/>
        <w:pBdr>
          <w:bottom w:val="single" w:color="C9D6E4" w:sz="6" w:space="6"/>
        </w:pBdr>
        <w:spacing w:after="160" w:before="360"/>
      </w:pPr>
      <w:r>
        <w:rPr>
          <w:rFonts w:ascii="Calibri" w:cs="Calibri" w:eastAsia="Calibri" w:hAnsi="Calibri"/>
          <w:b/>
          <w:bCs/>
          <w:color w:val="1F4E79"/>
          <w:sz w:val="32"/>
          <w:szCs w:val="32"/>
        </w:rPr>
        <w:t xml:space="preserve">13. Collaboration Plan and Follow-On Project</w:t>
      </w:r>
    </w:p>
    <w:p>
      <w:pPr>
        <w:spacing w:after="140" w:line="276"/>
      </w:pPr>
      <w:r>
        <w:t xml:space="preserve">The candidate carries out implementation, experiments, analysis, and the first manuscript draft, and serves as first author. Prof. Jin is proposed as senior and advising author, providing research direction, methodological review at the Week-8 and Week-12 gates, and manuscript revision. Proposed cadence: a biweekly 30-minute check-in, asynchronous-friendly across time zones, with a shared GitHub repository and this document maintained as a living plan with monthly milestone notes. All compute is self-funded; no lab funding is required for this first paper.</w:t>
      </w:r>
    </w:p>
    <w:p>
      <w:pPr>
        <w:spacing w:after="140" w:line="276"/>
      </w:pPr>
      <w:r>
        <w:rPr>
          <w:rFonts w:ascii="Calibri" w:cs="Calibri" w:eastAsia="Calibri" w:hAnsi="Calibri"/>
          <w:b/>
          <w:bCs/>
          <w:color w:val="1A1A1A"/>
          <w:sz w:val="21"/>
          <w:szCs w:val="21"/>
        </w:rPr>
        <w:t xml:space="preserve">Follow-on project (proposed second paper). </w:t>
      </w:r>
      <w:r>
        <w:rPr>
          <w:rFonts w:ascii="Calibri" w:cs="Calibri" w:eastAsia="Calibri" w:hAnsi="Calibri"/>
          <w:color w:val="1A1A1A"/>
          <w:sz w:val="21"/>
          <w:szCs w:val="21"/>
        </w:rPr>
        <w:t xml:space="preserve">The natural extension makes the institution itself endogenous. Rather than stipulating an intervener, citizens vote each round on whether a corrector should exist and who bears its cost — an institutional-choice design in the spirit of the migration experiments in human public-goods research, and a direct application of contracting and mediation mechanisms to information governance. The question becomes whether an LLM society will voluntarily institute costly correction, and under which incentive ratios it abandons it. That builds directly on the NudgeSim engine and requires no new data collection.</w:t>
      </w:r>
    </w:p>
    <w:p>
      <w:pPr>
        <w:pStyle w:val="Heading1"/>
        <w:pBdr>
          <w:bottom w:val="single" w:color="C9D6E4" w:sz="6" w:space="6"/>
        </w:pBdr>
        <w:spacing w:after="160" w:before="360"/>
      </w:pPr>
      <w:r>
        <w:rPr>
          <w:rFonts w:ascii="Calibri" w:cs="Calibri" w:eastAsia="Calibri" w:hAnsi="Calibri"/>
          <w:b/>
          <w:bCs/>
          <w:color w:val="1F4E79"/>
          <w:sz w:val="32"/>
          <w:szCs w:val="32"/>
        </w:rPr>
        <w:t xml:space="preserve">14. References</w:t>
      </w:r>
    </w:p>
    <w:p>
      <w:pPr>
        <w:spacing w:after="70" w:line="250"/>
        <w:ind w:left="340" w:hanging="340"/>
      </w:pPr>
      <w:r>
        <w:rPr>
          <w:rFonts w:ascii="Calibri" w:cs="Calibri" w:eastAsia="Calibri" w:hAnsi="Calibri"/>
          <w:color w:val="1A1A1A"/>
          <w:sz w:val="19"/>
          <w:szCs w:val="19"/>
        </w:rPr>
        <w:t xml:space="preserve">Bail, C. A., et al. (2018). Exposure to opposing views on social media can increase political polarization. PNAS, 115(37).</w:t>
      </w:r>
    </w:p>
    <w:p>
      <w:pPr>
        <w:spacing w:after="70" w:line="250"/>
        <w:ind w:left="340" w:hanging="340"/>
      </w:pPr>
      <w:r>
        <w:rPr>
          <w:rFonts w:ascii="Calibri" w:cs="Calibri" w:eastAsia="Calibri" w:hAnsi="Calibri"/>
          <w:color w:val="1A1A1A"/>
          <w:sz w:val="19"/>
          <w:szCs w:val="19"/>
        </w:rPr>
        <w:t xml:space="preserve">Backmann, S., et al. &amp; Jin, Z. (2025). When Ethics and Payoffs Diverge: LLM Agents in Morally Charged Social Dilemmas. arXiv:2505.19212. [MoralSim]</w:t>
      </w:r>
    </w:p>
    <w:p>
      <w:pPr>
        <w:spacing w:after="70" w:line="250"/>
        <w:ind w:left="340" w:hanging="340"/>
      </w:pPr>
      <w:r>
        <w:rPr>
          <w:rFonts w:ascii="Calibri" w:cs="Calibri" w:eastAsia="Calibri" w:hAnsi="Calibri"/>
          <w:color w:val="1A1A1A"/>
          <w:sz w:val="19"/>
          <w:szCs w:val="19"/>
        </w:rPr>
        <w:t xml:space="preserve">Bowles, S. (2008). Policies designed for self-interested citizens may undermine "the moral sentiments". Science, 320(5883).</w:t>
      </w:r>
    </w:p>
    <w:p>
      <w:pPr>
        <w:spacing w:after="70" w:line="250"/>
        <w:ind w:left="340" w:hanging="340"/>
      </w:pPr>
      <w:r>
        <w:rPr>
          <w:rFonts w:ascii="Calibri" w:cs="Calibri" w:eastAsia="Calibri" w:hAnsi="Calibri"/>
          <w:color w:val="1A1A1A"/>
          <w:sz w:val="19"/>
          <w:szCs w:val="19"/>
        </w:rPr>
        <w:t xml:space="preserve">Chuang, Y.-S., et al. (2024). Simulating Opinion Dynamics with Networks of LLM-based Agents. Findings of NAACL 2024.</w:t>
      </w:r>
    </w:p>
    <w:p>
      <w:pPr>
        <w:spacing w:after="70" w:line="250"/>
        <w:ind w:left="340" w:hanging="340"/>
      </w:pPr>
      <w:r>
        <w:rPr>
          <w:rFonts w:ascii="Calibri" w:cs="Calibri" w:eastAsia="Calibri" w:hAnsi="Calibri"/>
          <w:color w:val="1A1A1A"/>
          <w:sz w:val="19"/>
          <w:szCs w:val="19"/>
        </w:rPr>
        <w:t xml:space="preserve">Costello, T. H., Pennycook, G., &amp; Rand, D. G. (2024). Durably reducing conspiracy beliefs through dialogues with AI. Science, 385(6714). [Cited as motivation; an Editorial Expression of Concern regarding screening-criteria and dataset inconsistencies was issued in 2026, with the authors reporting that a corrected pipeline preserves the direction and magnitude of the effect. Treated here as suggestive rather than settled.]</w:t>
      </w:r>
    </w:p>
    <w:p>
      <w:pPr>
        <w:spacing w:after="70" w:line="250"/>
        <w:ind w:left="340" w:hanging="340"/>
      </w:pPr>
      <w:r>
        <w:rPr>
          <w:rFonts w:ascii="Calibri" w:cs="Calibri" w:eastAsia="Calibri" w:hAnsi="Calibri"/>
          <w:color w:val="1A1A1A"/>
          <w:sz w:val="19"/>
          <w:szCs w:val="19"/>
        </w:rPr>
        <w:t xml:space="preserve">Fehr, E., &amp; Gächter, S. (2002). Altruistic punishment in humans. Nature, 415.</w:t>
      </w:r>
    </w:p>
    <w:p>
      <w:pPr>
        <w:spacing w:after="70" w:line="250"/>
        <w:ind w:left="340" w:hanging="340"/>
      </w:pPr>
      <w:r>
        <w:rPr>
          <w:rFonts w:ascii="Calibri" w:cs="Calibri" w:eastAsia="Calibri" w:hAnsi="Calibri"/>
          <w:color w:val="1A1A1A"/>
          <w:sz w:val="19"/>
          <w:szCs w:val="19"/>
        </w:rPr>
        <w:t xml:space="preserve">Fehr, E., &amp; Rockenbach, B. (2003). Detrimental effects of sanctions on human altruism. Nature, 422.</w:t>
      </w:r>
    </w:p>
    <w:p>
      <w:pPr>
        <w:spacing w:after="70" w:line="250"/>
        <w:ind w:left="340" w:hanging="340"/>
      </w:pPr>
      <w:r>
        <w:rPr>
          <w:rFonts w:ascii="Calibri" w:cs="Calibri" w:eastAsia="Calibri" w:hAnsi="Calibri"/>
          <w:color w:val="1A1A1A"/>
          <w:sz w:val="19"/>
          <w:szCs w:val="19"/>
        </w:rPr>
        <w:t xml:space="preserve">Gilardi, F., Alizadeh, M., &amp; Kubli, M. (2023). ChatGPT outperforms crowd workers for text-annotation tasks. PNAS, 120(30).</w:t>
      </w:r>
    </w:p>
    <w:p>
      <w:pPr>
        <w:spacing w:after="70" w:line="250"/>
        <w:ind w:left="340" w:hanging="340"/>
      </w:pPr>
      <w:r>
        <w:rPr>
          <w:rFonts w:ascii="Calibri" w:cs="Calibri" w:eastAsia="Calibri" w:hAnsi="Calibri"/>
          <w:color w:val="1A1A1A"/>
          <w:sz w:val="19"/>
          <w:szCs w:val="19"/>
        </w:rPr>
        <w:t xml:space="preserve">Gürerk, Ö., Irlenbusch, B., &amp; Rockenbach, B. (2006). The competitive advantage of sanctioning institutions. Science, 312(5770).</w:t>
      </w:r>
    </w:p>
    <w:p>
      <w:pPr>
        <w:spacing w:after="70" w:line="250"/>
        <w:ind w:left="340" w:hanging="340"/>
      </w:pPr>
      <w:r>
        <w:rPr>
          <w:rFonts w:ascii="Calibri" w:cs="Calibri" w:eastAsia="Calibri" w:hAnsi="Calibri"/>
          <w:color w:val="1A1A1A"/>
          <w:sz w:val="19"/>
          <w:szCs w:val="19"/>
        </w:rPr>
        <w:t xml:space="preserve">Kochkina, E., Liakata, M., &amp; Zubiaga, A. (2018). All-in-one: Multi-task Learning for Rumour Verification. COLING 2018. [PHEME-9: figshare 10.6084/m9.figshare.6392078]</w:t>
      </w:r>
    </w:p>
    <w:p>
      <w:pPr>
        <w:spacing w:after="70" w:line="250"/>
        <w:ind w:left="340" w:hanging="340"/>
      </w:pPr>
      <w:r>
        <w:rPr>
          <w:rFonts w:ascii="Calibri" w:cs="Calibri" w:eastAsia="Calibri" w:hAnsi="Calibri"/>
          <w:color w:val="1A1A1A"/>
          <w:sz w:val="19"/>
          <w:szCs w:val="19"/>
        </w:rPr>
        <w:t xml:space="preserve">Lewandowsky, S., et al. (2020). The Debunking Handbook 2020.</w:t>
      </w:r>
    </w:p>
    <w:p>
      <w:pPr>
        <w:spacing w:after="70" w:line="250"/>
        <w:ind w:left="340" w:hanging="340"/>
      </w:pPr>
      <w:r>
        <w:rPr>
          <w:rFonts w:ascii="Calibri" w:cs="Calibri" w:eastAsia="Calibri" w:hAnsi="Calibri"/>
          <w:color w:val="1A1A1A"/>
          <w:sz w:val="19"/>
          <w:szCs w:val="19"/>
        </w:rPr>
        <w:t xml:space="preserve">Nyhan, B., &amp; Reifler, J. (2010). When Corrections Fail. Political Behavior, 32.</w:t>
      </w:r>
    </w:p>
    <w:p>
      <w:pPr>
        <w:spacing w:after="70" w:line="250"/>
        <w:ind w:left="340" w:hanging="340"/>
      </w:pPr>
      <w:r>
        <w:rPr>
          <w:rFonts w:ascii="Calibri" w:cs="Calibri" w:eastAsia="Calibri" w:hAnsi="Calibri"/>
          <w:color w:val="1A1A1A"/>
          <w:sz w:val="19"/>
          <w:szCs w:val="19"/>
        </w:rPr>
        <w:t xml:space="preserve">Park, J. S., et al. (2023). Generative Agents: Interactive Simulacra of Human Behavior. UIST 2023.</w:t>
      </w:r>
    </w:p>
    <w:p>
      <w:pPr>
        <w:spacing w:after="70" w:line="250"/>
        <w:ind w:left="340" w:hanging="340"/>
      </w:pPr>
      <w:r>
        <w:rPr>
          <w:rFonts w:ascii="Calibri" w:cs="Calibri" w:eastAsia="Calibri" w:hAnsi="Calibri"/>
          <w:color w:val="1A1A1A"/>
          <w:sz w:val="19"/>
          <w:szCs w:val="19"/>
        </w:rPr>
        <w:t xml:space="preserve">Pennycook, G., et al. (2021). Shifting attention to accuracy can reduce misinformation online. Nature, 592.</w:t>
      </w:r>
    </w:p>
    <w:p>
      <w:pPr>
        <w:spacing w:after="70" w:line="250"/>
        <w:ind w:left="340" w:hanging="340"/>
      </w:pPr>
      <w:r>
        <w:rPr>
          <w:rFonts w:ascii="Calibri" w:cs="Calibri" w:eastAsia="Calibri" w:hAnsi="Calibri"/>
          <w:color w:val="1A1A1A"/>
          <w:sz w:val="19"/>
          <w:szCs w:val="19"/>
        </w:rPr>
        <w:t xml:space="preserve">Piatti, G., Jin, Z., et al. (2024). Cooperate or Collapse: Emergence of Sustainable Cooperation in a Society of LLM Agents. NeurIPS 2024. arXiv:2404.16698. [GovSim]</w:t>
      </w:r>
    </w:p>
    <w:p>
      <w:pPr>
        <w:spacing w:after="70" w:line="250"/>
        <w:ind w:left="340" w:hanging="340"/>
      </w:pPr>
      <w:r>
        <w:rPr>
          <w:rFonts w:ascii="Calibri" w:cs="Calibri" w:eastAsia="Calibri" w:hAnsi="Calibri"/>
          <w:color w:val="1A1A1A"/>
          <w:sz w:val="19"/>
          <w:szCs w:val="19"/>
        </w:rPr>
        <w:t xml:space="preserve">Piedrahita, D., et al. &amp; Jin, Z. (2025). Corrupted by Reasoning: Reasoning Language Models Become Free-Riders in Public Goods Games. COLM 2025. [SanctSim]</w:t>
      </w:r>
    </w:p>
    <w:p>
      <w:pPr>
        <w:spacing w:after="70" w:line="250"/>
        <w:ind w:left="340" w:hanging="340"/>
      </w:pPr>
      <w:r>
        <w:rPr>
          <w:rFonts w:ascii="Calibri" w:cs="Calibri" w:eastAsia="Calibri" w:hAnsi="Calibri"/>
          <w:color w:val="1A1A1A"/>
          <w:sz w:val="19"/>
          <w:szCs w:val="19"/>
        </w:rPr>
        <w:t xml:space="preserve">Qiao, B., Li, K., Zhou, W., &amp; Hu, S. (2025). Dynamic Simulation Framework for Disinformation Dissemination and Correction With Social Bots. Findings of EMNLP 2025. arXiv:2507.16848. [MADD]</w:t>
      </w:r>
    </w:p>
    <w:p>
      <w:pPr>
        <w:spacing w:after="70" w:line="250"/>
        <w:ind w:left="340" w:hanging="340"/>
      </w:pPr>
      <w:r>
        <w:rPr>
          <w:rFonts w:ascii="Calibri" w:cs="Calibri" w:eastAsia="Calibri" w:hAnsi="Calibri"/>
          <w:color w:val="1A1A1A"/>
          <w:sz w:val="19"/>
          <w:szCs w:val="19"/>
        </w:rPr>
        <w:t xml:space="preserve">Roozenbeek, J., &amp; van der Linden, S. (2019). Fake news game confers psychological resistance against online misinformation. Palgrave Communications, 5.</w:t>
      </w:r>
    </w:p>
    <w:p>
      <w:pPr>
        <w:spacing w:after="70" w:line="250"/>
        <w:ind w:left="340" w:hanging="340"/>
      </w:pPr>
      <w:r>
        <w:rPr>
          <w:rFonts w:ascii="Calibri" w:cs="Calibri" w:eastAsia="Calibri" w:hAnsi="Calibri"/>
          <w:color w:val="1A1A1A"/>
          <w:sz w:val="19"/>
          <w:szCs w:val="19"/>
        </w:rPr>
        <w:t xml:space="preserve">Tewolde, E., Zhang, X., Piedrahita, D., Conitzer, V., &amp; Jin, Z. (2026). CoopEval: Benchmarking Cooperation-Sustaining Mechanisms and LLM Agents in Social Dilemmas. ICML 2026. arXiv:2604.15267.</w:t>
      </w:r>
    </w:p>
    <w:p>
      <w:pPr>
        <w:spacing w:after="70" w:line="250"/>
        <w:ind w:left="340" w:hanging="340"/>
      </w:pPr>
      <w:r>
        <w:rPr>
          <w:rFonts w:ascii="Calibri" w:cs="Calibri" w:eastAsia="Calibri" w:hAnsi="Calibri"/>
          <w:color w:val="1A1A1A"/>
          <w:sz w:val="19"/>
          <w:szCs w:val="19"/>
        </w:rPr>
        <w:t xml:space="preserve">Törnberg, P., Valeeva, D., Uitermark, J., &amp; Bail, C. (2023). Simulating Social Media Using Large Language Models to Evaluate Alternative News Feed Algorithms. arXiv preprint.</w:t>
      </w:r>
    </w:p>
    <w:p>
      <w:pPr>
        <w:spacing w:after="70" w:line="250"/>
        <w:ind w:left="340" w:hanging="340"/>
      </w:pPr>
      <w:r>
        <w:rPr>
          <w:rFonts w:ascii="Calibri" w:cs="Calibri" w:eastAsia="Calibri" w:hAnsi="Calibri"/>
          <w:color w:val="1A1A1A"/>
          <w:sz w:val="19"/>
          <w:szCs w:val="19"/>
        </w:rPr>
        <w:t xml:space="preserve">Vosoughi, S., Roy, D., &amp; Aral, S. (2018). The spread of true and false news online. Science, 359(6380).</w:t>
      </w:r>
    </w:p>
    <w:p>
      <w:pPr>
        <w:spacing w:after="70" w:line="250"/>
        <w:ind w:left="340" w:hanging="340"/>
      </w:pPr>
      <w:r>
        <w:rPr>
          <w:rFonts w:ascii="Calibri" w:cs="Calibri" w:eastAsia="Calibri" w:hAnsi="Calibri"/>
          <w:color w:val="1A1A1A"/>
          <w:sz w:val="19"/>
          <w:szCs w:val="19"/>
        </w:rPr>
        <w:t xml:space="preserve">Wang, W. Y. (2017). "Liar, Liar Pants on Fire": A New Benchmark Dataset for Fake News Detection. ACL 2017. arXiv:1705.00648.</w:t>
      </w:r>
    </w:p>
    <w:p>
      <w:pPr>
        <w:spacing w:after="70" w:line="250"/>
        <w:ind w:left="340" w:hanging="340"/>
      </w:pPr>
      <w:r>
        <w:rPr>
          <w:rFonts w:ascii="Calibri" w:cs="Calibri" w:eastAsia="Calibri" w:hAnsi="Calibri"/>
          <w:color w:val="1A1A1A"/>
          <w:sz w:val="19"/>
          <w:szCs w:val="19"/>
        </w:rPr>
        <w:t xml:space="preserve">Wood, T., &amp; Porter, E. (2019). The Elusive Backfire Effect. Political Behavior, 41.</w:t>
      </w:r>
    </w:p>
    <w:p>
      <w:pPr>
        <w:spacing w:after="70" w:line="250"/>
        <w:ind w:left="340" w:hanging="340"/>
      </w:pPr>
      <w:r>
        <w:rPr>
          <w:rFonts w:ascii="Calibri" w:cs="Calibri" w:eastAsia="Calibri" w:hAnsi="Calibri"/>
          <w:color w:val="1A1A1A"/>
          <w:sz w:val="19"/>
          <w:szCs w:val="19"/>
        </w:rPr>
        <w:t xml:space="preserve">Yang, Z., et al. (2024). OASIS: Open Agent Social Interaction Simulations with One Million Agents. arXiv:2411.11581.</w:t>
      </w:r>
    </w:p>
    <w:p>
      <w:pPr>
        <w:spacing w:after="70" w:line="250"/>
        <w:ind w:left="340" w:hanging="340"/>
      </w:pPr>
      <w:r>
        <w:rPr>
          <w:rFonts w:ascii="Calibri" w:cs="Calibri" w:eastAsia="Calibri" w:hAnsi="Calibri"/>
          <w:color w:val="1A1A1A"/>
          <w:sz w:val="19"/>
          <w:szCs w:val="19"/>
        </w:rPr>
        <w:t xml:space="preserve">Zubiaga, A., et al. (2016). Analysing How People Orient to and Spread Rumours in Social Media by Looking at Conversational Threads. PLOS ONE, 11(3).</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6"/>
        <w:szCs w:val="16"/>
      </w:rPr>
      <w:t xml:space="preserve">NudgeSim Project Plan · v2.1 · September 2026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760" w:hanging="200"/>
      </w:pPr>
    </w:lvl>
  </w:abstractNum>
  <w:abstractNum w:abstractNumId="3" w15:restartNumberingAfterBreak="0">
    <w:multiLevelType w:val="hybridMultilevel"/>
    <w:lvl w:ilvl="0" w15:tentative="1">
      <w:start w:val="1"/>
      <w:numFmt w:val="decimal"/>
      <w:lvlText w:val="%1."/>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2026-09-11T13:35:03.577Z</dcterms:created>
  <dcterms:modified xsi:type="dcterms:W3CDTF">2026-09-11T13:35:03.589Z</dcterms:modified>
</cp:coreProperties>
</file>

<file path=docProps/custom.xml><?xml version="1.0" encoding="utf-8"?>
<Properties xmlns="http://schemas.openxmlformats.org/officeDocument/2006/custom-properties" xmlns:vt="http://schemas.openxmlformats.org/officeDocument/2006/docPropsVTypes"/>
</file>