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A5A5A"/>
          <w:sz w:val="20"/>
          <w:szCs w:val="20"/>
        </w:rPr>
        <w:t xml:space="preserve">PROJECT PLAN</w:t>
      </w:r>
    </w:p>
    <w:p>
      <w:pPr>
        <w:spacing w:after="60"/>
      </w:pPr>
      <w:r>
        <w:rPr>
          <w:rFonts w:ascii="Calibri" w:cs="Calibri" w:eastAsia="Calibri" w:hAnsi="Calibri"/>
          <w:b/>
          <w:bCs/>
          <w:color w:val="1F4E79"/>
          <w:sz w:val="40"/>
          <w:szCs w:val="40"/>
        </w:rPr>
        <w:t xml:space="preserve">NudgeSim: Who Pays to Correct?</w:t>
      </w:r>
    </w:p>
    <w:p>
      <w:pPr>
        <w:spacing w:after="160"/>
      </w:pPr>
      <w:r>
        <w:rPr>
          <w:rFonts w:ascii="Calibri" w:cs="Calibri" w:eastAsia="Calibri" w:hAnsi="Calibri"/>
          <w:b/>
          <w:bCs/>
          <w:color w:val="1F4E79"/>
          <w:sz w:val="26"/>
          <w:szCs w:val="26"/>
        </w:rPr>
        <w:t xml:space="preserve">Timing, Tone, and the Second-Order Dilemma of Counter-Misinformation in LLM Agent Societies</w:t>
      </w:r>
    </w:p>
    <w:p>
      <w:pPr>
        <w:spacing w:after="240" w:line="276"/>
      </w:pPr>
      <w:r>
        <w:rPr>
          <w:rFonts w:ascii="Calibri" w:cs="Calibri" w:eastAsia="Calibri" w:hAnsi="Calibri"/>
          <w:i/>
          <w:iCs/>
          <w:color w:val="5A5A5A"/>
          <w:sz w:val="21"/>
          <w:szCs w:val="21"/>
        </w:rPr>
        <w:t xml:space="preserve">A payoff-grounded, preregistered multi-agent testbed for evaluating when and how an embedded AI intervener shifts an agent society from free-riding on unverified content toward costly peer correction.</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621"/>
        <w:gridCol w:w="7459"/>
      </w:tblGrid>
      <w:tr>
        <w:trPr>
          <w:tblHeader/>
        </w:trPr>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Field</w:t>
            </w:r>
          </w:p>
        </w:tc>
        <w:tc>
          <w:tcPr>
            <w:tcW w:type="dxa" w:w="745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Details</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Prepared by</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Jihyung Kim — Lecturer, Dept. of AI Convergence, Sahmyook University; M.C.S., University of Illinois Urbana-Champaign (2026)</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Prepared for</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Pre-PhD Research Project application — Prof. Zhijing Jin, University of Toronto / Max Planck Institute / Vector Institute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Proposed collaboration</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First-authored paper by the candidate, with Prof. Jin as senior/advising author</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Research area</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Multi-agent LLM safety · social dilemmas and cooperation · counter-misinformation intervention design</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Duration</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 months (16 weeks) from project start, with a named follow-on phase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In-scope deliverable</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Open framework v1.0 + arXiv preprint + workshop paper; main-track submission is the designated immediate follow-on, not an in-scope promise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Date / version</w:t>
            </w:r>
          </w:p>
        </w:tc>
        <w:tc>
          <w:tcPr>
            <w:tcW w:type="dxa" w:w="7459"/>
            <w:shd w:fill="FDF3E7"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September 2026 · v2.6 — the backbone factor is corrected from a monoculture to a mixed-society design after the reference implementation showed the original could not identify what RQ4/H5 ask (living document — comments welcome)</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0. What changed in v2.6, and why</w:t>
      </w:r>
    </w:p>
    <w:p>
      <w:pPr>
        <w:spacing w:after="140" w:line="276"/>
      </w:pPr>
      <w:r>
        <w:rPr>
          <w:rFonts w:ascii="Calibri" w:cs="Calibri" w:eastAsia="Calibri" w:hAnsi="Calibri"/>
          <w:color w:val="1A1A1A"/>
          <w:sz w:val="21"/>
          <w:szCs w:val="21"/>
        </w:rPr>
        <w:t xml:space="preserve">The design was implemented end to end and run over the full preregistered grid — 1,080 episodes on the real LIAR corpus and all 6,425 real PHEME-9 threads — using an analytic surrogate policy in place of LLM backbones. The purpose was not to obtain results (a surrogate cannot produce results about language models) but to find out whether the protocol, as written, can answer the questions it asks. </w:t>
      </w:r>
      <w:r>
        <w:rPr>
          <w:rFonts w:ascii="Calibri" w:cs="Calibri" w:eastAsia="Calibri" w:hAnsi="Calibri"/>
          <w:b/>
          <w:bCs/>
          <w:color w:val="1A1A1A"/>
          <w:sz w:val="21"/>
          <w:szCs w:val="21"/>
        </w:rPr>
        <w:t xml:space="preserve">It cannot, in six specific ways.</w:t>
      </w:r>
      <w:r>
        <w:rPr>
          <w:rFonts w:ascii="Calibri" w:cs="Calibri" w:eastAsia="Calibri" w:hAnsi="Calibri"/>
          <w:color w:val="1A1A1A"/>
          <w:sz w:val="21"/>
          <w:szCs w:val="21"/>
        </w:rPr>
        <w:t xml:space="preserve"> Each is fixed below; each fix is traceable to evidence in the reference implementation. v2.1 fixed the first four, found against real LIAR; v2.2 adds the fifth and a correction to the second, both of which only surfaced once the real PHEME release was in hand. v2.3 states the relationship to the GovSim / SanctSim / MoralSim / CoopEval line. v2.4 adds four more: one reproducibility defect that invalidated every run made before it was found, a budget that had been asserted rather than measured, a communication-design choice that had never been made, and three reporting patterns borrowed from that line. v2.5 replaces the single-vendor model roster, which would have made the headline model-dependence result incomparable with the studies it is positioned against. v2.6 fixes the roster's shape, not its membership: as designed every citizen in an episode shares one backbone, which cannot answer whether one model free-rides on another's correction because there is no other model present to free-ride on.</w:t>
      </w:r>
    </w:p>
    <w:p>
      <w:pPr>
        <w:spacing w:after="200" w:line="276"/>
      </w:pPr>
      <w:r>
        <w:rPr>
          <w:rFonts w:ascii="Calibri" w:cs="Calibri" w:eastAsia="Calibri" w:hAnsi="Calibri"/>
          <w:i/>
          <w:iCs/>
          <w:color w:val="5A5A5A"/>
          <w:sz w:val="21"/>
          <w:szCs w:val="21"/>
        </w:rPr>
        <w:t xml:space="preserve">This is the cheapest possible moment to discover these. Three of the four would have surfaced only in Week 14, during analysis, with the compute budget already spent.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310"/>
        <w:gridCol w:w="3024"/>
        <w:gridCol w:w="4234"/>
        <w:gridCol w:w="1512"/>
      </w:tblGrid>
      <w:tr>
        <w:trPr>
          <w:tblHeader/>
        </w:trPr>
        <w:tc>
          <w:tcPr>
            <w:tcW w:type="dxa" w:w="13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t>
            </w:r>
          </w:p>
        </w:tc>
        <w:tc>
          <w:tcPr>
            <w:tcW w:type="dxa" w:w="302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Problem in v2.0</w:t>
            </w:r>
          </w:p>
        </w:tc>
        <w:tc>
          <w:tcPr>
            <w:tcW w:type="dxa" w:w="423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Revision in v2.1</w:t>
            </w:r>
          </w:p>
        </w:tc>
        <w:tc>
          <w:tcPr>
            <w:tcW w:type="dxa" w:w="1512"/>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Evidence</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5.9, 8</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30 seeds/cell powers only one of the five primary contrasts. The headline hypothesis H3 needs ~259 seeds/cell; H1 needs ~105.</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Two-tier design: a 30-seed confirmatory grid for contrasts that it powers, plus a focused 300-seed arm for the tone contrast. Grid grows to 2,280 episodes, not 6,000.</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Power analysis over 1,080 episodes; detection validated at 200 seeds and null-DGP specificity confirmed.</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5.5</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Epistemic welfare = Σπ ranks every working intervention far below doing nothing, because δ-damage is deadweight and generating it is the intervener's function.</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welfare is now accuracy + conformity, with sanction costs reported separately — the standard treatment in experimental public-goods work.</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Control −26.5 vs best intervention −152.7 on Σπ; the ordering reverses once sanctions are separated.</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5.3, 5.5</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placebo arm cannot test specificity, because the intervener is stipulated to challenge whatever it is shown.</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intervener judges veracity first and may decline. Its false-alarm rate is logged, and the specificity contrast is preregistered conditional on it having fired.</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Pooled contrast null (p = 0.71); conditional on firing, false corrections double (+0.065, p = 0.002).</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5.5</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Pollution half-life (FPR &lt; 0.2, sustained) is unreachable in 12 rounds against a persistent disseminator.</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Durability is now area-under-FPR, with a relative-threshold survival analysis as secondary and T extended to 16.</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97.9% censoring — 10 of 480 treated episodes reach the threshold.</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5.2</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Intervener network position is unspecified, so treatment strength varies silently.</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Placement declared (highest-degree non-root); reach logged as a covariate.</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Reach ranges 0–5 citizens; ρ = 0.34 with EPC.</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5.2 (new in v2.2)</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reply tree is used as the visibility graph. Against real PHEME this makes 69% of motifs broadcast stars, in which no local majority can form and no citizen can observe another correcting — the study's central mechanism, absent from 89% of real topologies.</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Visibility is modelled as bounded attention: an agent sees the source plus the replies adjacent to its own in thread display order. No motif is a star, none is a clique, no thread is discarded.</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89% of real motifs had no citizen-to-citizen edge; 0% after. Intervention → EPC strengthens from d = 0.69 to 0.93.</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5.5 (revised in v2.2)</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Welfare excluding sanctions still mixes accuracy with conformity, and conformity is maximised by the control arm.</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Epistemic welfare is the veracity component alone; conformity and sanction costs are reported beside it.</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Under denser neighbourhoods conformity grows to ~90 points and reverses the ordering; accuracy is the only component stable in sign.</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2.1 (new in v2.3)</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plan positions itself against the misinformation-simulation literature only, and cites the GovSim / SanctSim / MoralSim / CoopEval line without using it.</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section stating the relationship: NudgeSim is an instance of that programme applied to information as the public good, and asks the second-order question of an intervention rather than of a population.</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Two findings from the reference implementation generalise to that whole line — see the callout in §2.1.</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5.9 (new in v2.4)</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Episode seeds were derived from Python’s hash() of a string, which is salted per process. Two runs of the same grid agreed on their configs and disagreed on 79% of core-arm outcomes, while the manifest recorded the seeds as pinned. The validation triad ran each arm in its own process, so the declared, inflated and zeroed data-generating processes were compared across different draws of claims and topologies.</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Seeds come from a digest over the same inputs, stable across processes and platforms, with a regression test pinning the value against a literal and a second test that runs a grid twice and asserts the outcomes match.</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474 of 600 core episodes differed between identical runs. After the fix the triad separates as intended: declared d = −0.166, inflated −0.249, zeroed −0.021. The declared effect is nearly twice its previously measured size — seed churn had been adding between-run noise to a within-run contrast.</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12 (new in v2.4)</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budget was an estimate with nothing measured behind it, and the lever it named — response caching — does not exist in this workload.</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Cost is metered from the prompts the engine assembles and priced against the published rate card. The real levers are prompt caching and not rerunning the reasoning arm with everything else.</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620 input tokens a call, 60 calls an episode, 0 duplicate prompts in 3,600 calls, 50.6% of every prompt a reusable persona prefix. Recommended portfolio: US$1,866 for the whole programme, against US$16,038 if extended thinking ran on every arm.</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5.10 (new in v2.4)</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Whether citizens exchange natural language, and through what channel, was never decided. The two reference designs answer it oppositely and the choice is not a detail: in GovSim, removing the channel changes the headline outcome by 21 points.</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Declared and defended in §5.10: SanctSim-style for the decision channel — payoffs are a function of actions alone — and GovSim-style for what neighbours see, because tone has no carrier other than language and factor F2 does not exist without it.</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SanctSim §3: agents interact solely through their game decisions. GovSim §3.2: negotiation is 62% of dialogue; removing communication raises over-use 21 points.</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8 (new in v2.4)</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analysis reported models and p-values but not effects in the units the outcomes are measured in, had nothing human to read the model numbers against, and never tested whether a norm it found would survive a defector.</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Three patterns adopted from the line: per-factor ATEs with bootstrap 95% CIs (MoralSim), a published human row (SanctSim Table 1), and a mid-episode defector (GovSim §3.3).</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Intervention → EPC = +0.081 [+0.067, +0.094]. Control-arm sanction take-up 0.167 against 0.929 in Gurerk et al.; 0.076 challenges per endorsement against 1.66. Peers do not change their correction rate against either defector.</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7 (new in v2.5)</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All four backbone levels came from one vendor. H5 claims backbone choice moves the outcome more than intervention design does; measured on a roster no prior study shares, that claim cannot be read against any of them.</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Six levels across four vendors, chosen for overlap with the reference line: GPT-4o, a current OpenAI reasoning model, Claude Opus 5 with and without extended thinking, Llama-3.3-70B and Qwen3-30B-A3B.</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GPT-4o is the only model common to GovSim, SanctSim, MoralSim and CoopEval; open-weights models appear in all four. Marginal cost of a level is fixed at 13.1M input and 1.43M output tokens, so the roster grows the grid to 2,080 episodes without changing per-model cost.</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5.3, 5.11 (new in v2.6)</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F3 seats one model per episode: all five citizens in an episode share a backbone, and the backbone changes between episodes. RQ4/H5 and the second-order free-rider question in §3.2 are both claims about how one agent responds to — or free-rides on — another agent's behaviour, and a monoculture has no other identity present to respond to. Two of the four reference studies already treat the heterogeneous case as a headline result rather than an appendix: MoralSim's RQ2 pairs every model against every other, and CoopEval's RQ3 runs replicator dynamics from a uniform mixture.</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mixed arm seats the full roster in one society per episode. Which model holds which seat rotates by replication, so every model occupies every seat equally often — enforced by a test — which keeps a seat's network position (some seats are better-connected than others) from being read as a property of whichever model happens to sit in it that replication.</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On the surrogate, against real LIAR and PHEME-9 (proxy policies standing in for models, one per seat, same claim/topology/intervention/seed): peer-correction rate spans 5.4× across seated policies within a single episode (EPC 0.023 to 0.121) — a within-episode measurement of H5 that a between-episode comparison cannot rule out is partly claim or topology draw. Whether a policy's own rate depends on its neighbours' identity is null on the surrogate — largest gap −0.034 [−0.061, −0.006], not significant after Holm correction — which is informative about the surrogate: it responds to the count of visible correction, not to who is doing it, and that is precisely the assumption a language model need not share. Zero added cost: a mixed episode issues the same number of calls as a monoculture one, only spread across backbones.</w:t>
            </w:r>
          </w:p>
        </w:tc>
      </w:tr>
    </w:tbl>
    <w:p>
      <w:pPr>
        <w:spacing w:after="120" w:line="276"/>
      </w:pPr>
      <w:r>
        <w:rPr>
          <w:rFonts w:ascii="Calibri" w:cs="Calibri" w:eastAsia="Calibri" w:hAnsi="Calibri"/>
          <w:i/>
          <w:iCs/>
          <w:color w:val="5A5A5A"/>
          <w:sz w:val="21"/>
          <w:szCs w:val="21"/>
        </w:rPr>
        <w:t xml:space="preserve">Nothing in the contribution claim (§2), the theoretical framing (§3), or the ethics position (§11) changes. The revisions are to measurement and sample size — that is, to whether the study can see what it is looking for.</w:t>
      </w:r>
    </w:p>
    <w:p>
      <w:pPr>
        <w:pStyle w:val="Heading1"/>
        <w:pBdr>
          <w:bottom w:val="single" w:color="C9D6E4" w:sz="6" w:space="6"/>
        </w:pBdr>
        <w:spacing w:after="160" w:before="360"/>
      </w:pPr>
      <w:r>
        <w:rPr>
          <w:rFonts w:ascii="Calibri" w:cs="Calibri" w:eastAsia="Calibri" w:hAnsi="Calibri"/>
          <w:b/>
          <w:bCs/>
          <w:color w:val="1F4E79"/>
          <w:sz w:val="32"/>
          <w:szCs w:val="32"/>
        </w:rPr>
        <w:t xml:space="preserve">1. Project Summary</w:t>
      </w:r>
    </w:p>
    <w:p>
      <w:pPr>
        <w:spacing w:after="140" w:line="276"/>
      </w:pPr>
      <w:r>
        <w:t xml:space="preserve">Accurate information in a social network is a public good: verifying a claim is privately costly, while a less-polluted feed benefits everyone. Sharing engaging but unverified content is therefore a form of free-riding, and correcting someone else's false claim is costly peer sanctioning — which reintroduces the classic second-order free-rider problem: everyone wants the network corrected, nobody wants to pay to correct it.</w:t>
      </w:r>
    </w:p>
    <w:p>
      <w:pPr>
        <w:spacing w:after="140" w:line="276"/>
      </w:pPr>
      <w:r>
        <w:t xml:space="preserve">NudgeSim places an embedded AI intervener inside exactly this dilemma. We build a seven-agent LLM society — five citizens with explicit per-round payoffs, one malicious disseminator, and one "Devil's Advocate" intervener that is exogenously willing to absorb the verification cost — seeded with human-vetted false claims from LIAR and wired according to real rumor-cascade topologies from PHEME. Citizens choose among SHARE, ENDORSE, CHALLENGE, and IGNORE under a payoff function that pays an immediate conformity reward, a delayed veracity reward, and charges a cost for challenging.</w:t>
      </w:r>
    </w:p>
    <w:p>
      <w:pPr>
        <w:spacing w:after="140" w:line="276"/>
      </w:pPr>
      <w:r>
        <w:t xml:space="preserve">The design crosses intervention timing (early vs. late) × intervention tone (empathetic nudge vs. aggressive debunking) × citizen backbone model (four model families), against a no-intervener control, a true-claim placebo arm, and two theoretically motivated ablations. The headline outcome is not what agents say they believe. It is what they pay for: the rate at which citizens voluntarily absorb the challenge cost themselves once an intervener is present — whether an exogenous sanctioner catalyzes or crowds out endogenous peer correction.</w:t>
      </w:r>
    </w:p>
    <w:p>
      <w:pPr>
        <w:spacing w:after="140" w:line="276"/>
      </w:pPr>
      <w:r>
        <w:rPr>
          <w:rFonts w:ascii="Calibri" w:cs="Calibri" w:eastAsia="Calibri" w:hAnsi="Calibri"/>
          <w:color w:val="1A1A1A"/>
          <w:sz w:val="21"/>
          <w:szCs w:val="21"/>
        </w:rPr>
        <w:t xml:space="preserve">Deliverables: (i) a comparative benchmark of how four model families respond to intervention timing and tone under identical incentives; (ii) NudgeSim, an open, payoff-instrumented testbed released with a one-command reproduction script; and (iii) a preregistered manuscript, positioned for a social-agents workshop and an ICWSM/CSCW or ARR main-track submission. </w:t>
      </w:r>
      <w:r>
        <w:rPr>
          <w:rFonts w:ascii="Calibri" w:cs="Calibri" w:eastAsia="Calibri" w:hAnsi="Calibri"/>
          <w:b/>
          <w:bCs/>
          <w:color w:val="1A1A1A"/>
          <w:sz w:val="21"/>
          <w:szCs w:val="21"/>
        </w:rPr>
        <w:t xml:space="preserve">A reference implementation of the framework already exists and is the basis for the v2.1 revisions; the 16-week plan therefore begins from a working engine rather than from scratch.</w:t>
      </w:r>
    </w:p>
    <w:p>
      <w:pPr>
        <w:pStyle w:val="Heading1"/>
        <w:pBdr>
          <w:bottom w:val="single" w:color="C9D6E4" w:sz="6" w:space="6"/>
        </w:pBdr>
        <w:spacing w:after="160" w:before="360"/>
      </w:pPr>
      <w:r>
        <w:rPr>
          <w:rFonts w:ascii="Calibri" w:cs="Calibri" w:eastAsia="Calibri" w:hAnsi="Calibri"/>
          <w:b/>
          <w:bCs/>
          <w:color w:val="1F4E79"/>
          <w:sz w:val="32"/>
          <w:szCs w:val="32"/>
        </w:rPr>
        <w:t xml:space="preserve">2. Positioning: What Is Already Done, and What Is Not</w:t>
      </w:r>
    </w:p>
    <w:p>
      <w:pPr>
        <w:spacing w:after="140" w:line="276"/>
      </w:pPr>
      <w:r>
        <w:t xml:space="preserve">This section is placed before the design because the single largest risk to the project is novelty overlap, and the plan is built around a defensible delta rather than a claim of priority.</w:t>
      </w:r>
    </w:p>
    <w:p>
      <w:pPr>
        <w:spacing w:after="140" w:line="276"/>
      </w:pPr>
      <w:r>
        <w:t xml:space="preserve">LLM-based counter-misinformation simulation is no longer an empty field. Most directly, MADD (Qiao, Li, Zhou &amp; Hu, Findings of EMNLP 2025; arXiv:2507.16848) simulates disinformation dissemination and correction across a 689-node LLM agent network with bot correctors, manipulating intervention timing at three levels (early / mid / late) and comparing fact-based versus narrative-based correction strategies against an unintervened control. CoSim (arXiv:2605.17353) compares four intervention types including accuracy prompts and fact checking, though it treats timing as an observed outcome rather than a manipulated factor. MOSAIC (arXiv:2504.07830) evaluates competing fact-checking regimes, and a non-cooperative opinion-polarisation game (arXiv:2502.11649) already reports that aggressive debunking can raise polarisation before it stabilises.</w:t>
      </w:r>
    </w:p>
    <w:p>
      <w:pPr>
        <w:spacing w:after="140" w:line="276"/>
      </w:pPr>
      <w:r>
        <w:t xml:space="preserve">A v1 framing of this project ("no one has crossed timing with tone") would therefore not survive review. The delta below is what remains genuinely open.</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016"/>
        <w:gridCol w:w="3830"/>
        <w:gridCol w:w="4234"/>
      </w:tblGrid>
      <w:tr>
        <w:trPr>
          <w:tblHeader/>
        </w:trPr>
        <w:tc>
          <w:tcPr>
            <w:tcW w:type="dxa" w:w="201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Dimension</w:t>
            </w:r>
          </w:p>
        </w:tc>
        <w:tc>
          <w:tcPr>
            <w:tcW w:type="dxa" w:w="383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Closest prior work (MADD, CoSim, MOSAIC)</w:t>
            </w:r>
          </w:p>
        </w:tc>
        <w:tc>
          <w:tcPr>
            <w:tcW w:type="dxa" w:w="423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NudgeSim contribution</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Incentive structure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Descriptive social simulation; agents have no explicit payoff and no equilibrium benchmark</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Explicit per-round payoff function; correction is a costly sanction in a public-goods game with a stated stage-game benchmark</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Design</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Timing and strategy varied, but largely one at a time; no formal factorial or interaction test</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Full timing × tone × model factorial with preregistered interaction contrasts and Dunnett tests against control</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Headline outcome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Propagation / belief-like endorsement of the false claim</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Endogenous peer-correction rate — whether citizens themselves start paying the challenge cost (second-order cooperation)</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Tone axis</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Fact-based vs. narrative-based (an evidence-format contrast)</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nudge vs. aggressive debunking (a pragmatic-framing contrast, factual payload held constant)</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Model coverage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Typically a single backbone (e.g. DeepSeek-V3)</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Four model families benchmarked under identical incentives; model-dependence of intervention effects is a first-class result</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Specificity check</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Rarely tested</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True-claim placebo arm measures whether interveners induce indiscriminate skepticism — with a veracity-sensitive intervener, so the arm can actually fail (§5.3)</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Inference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Aggregate descriptive comparison</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OSF preregistration, mixed-effects models, bootstrap CIs, Holm correction, effect sizes, and a pre-committed power analysis (§8)</w:t>
            </w:r>
          </w:p>
        </w:tc>
      </w:tr>
    </w:tbl>
    <w:p>
      <w:pPr>
        <w:pStyle w:val="Heading2"/>
        <w:spacing w:after="120" w:before="280"/>
      </w:pPr>
      <w:r>
        <w:rPr>
          <w:rFonts w:ascii="Calibri" w:cs="Calibri" w:eastAsia="Calibri" w:hAnsi="Calibri"/>
          <w:b/>
          <w:bCs/>
          <w:color w:val="1F4E79"/>
          <w:sz w:val="26"/>
          <w:szCs w:val="26"/>
        </w:rPr>
        <w:t xml:space="preserve">2.1 Relation to the GovSim / SanctSim / MoralSim / CoopEval line</w:t>
      </w:r>
    </w:p>
    <w:p>
      <w:pPr>
        <w:spacing w:after="140" w:line="276"/>
      </w:pPr>
      <w:r>
        <w:rPr>
          <w:rFonts w:ascii="Calibri" w:cs="Calibri" w:eastAsia="Calibri" w:hAnsi="Calibri"/>
          <w:color w:val="1A1A1A"/>
          <w:sz w:val="21"/>
          <w:szCs w:val="21"/>
        </w:rPr>
        <w:t xml:space="preserve">The section above positions NudgeSim against the counter-misinformation simulation literature. That is the wrong comparison to lead with for this application, because the closest intellectual parent is not MADD — it is the programme this lab has been building.</w:t>
      </w:r>
    </w:p>
    <w:p>
      <w:pPr>
        <w:spacing w:after="140" w:line="276"/>
      </w:pPr>
      <w:r>
        <w:rPr>
          <w:rFonts w:ascii="Calibri" w:cs="Calibri" w:eastAsia="Calibri" w:hAnsi="Calibri"/>
          <w:b/>
          <w:bCs/>
          <w:color w:val="1A1A1A"/>
          <w:sz w:val="21"/>
          <w:szCs w:val="21"/>
        </w:rPr>
        <w:t xml:space="preserve">GovSim</w:t>
      </w:r>
      <w:r>
        <w:rPr>
          <w:rFonts w:ascii="Calibri" w:cs="Calibri" w:eastAsia="Calibri" w:hAnsi="Calibri"/>
          <w:color w:val="1A1A1A"/>
          <w:sz w:val="21"/>
          <w:szCs w:val="21"/>
        </w:rPr>
        <w:t xml:space="preserve"> (Piatti, Jin et al., NeurIPS 2024) asks whether a society of LLM agents can sustain a shared resource, and finds that sustaining it is the exception rather than the rule. </w:t>
      </w:r>
      <w:r>
        <w:rPr>
          <w:rFonts w:ascii="Calibri" w:cs="Calibri" w:eastAsia="Calibri" w:hAnsi="Calibri"/>
          <w:b/>
          <w:bCs/>
          <w:color w:val="1A1A1A"/>
          <w:sz w:val="21"/>
          <w:szCs w:val="21"/>
        </w:rPr>
        <w:t xml:space="preserve">SanctSim</w:t>
      </w:r>
      <w:r>
        <w:rPr>
          <w:rFonts w:ascii="Calibri" w:cs="Calibri" w:eastAsia="Calibri" w:hAnsi="Calibri"/>
          <w:color w:val="1A1A1A"/>
          <w:sz w:val="21"/>
          <w:szCs w:val="21"/>
        </w:rPr>
        <w:t xml:space="preserve"> (Piedrahita et al. &amp; Jin, COLM 2025) moves from the resource to the institution that protects it, placing LLM agents in a public-goods game with sanctioning and asking who pays to punish. </w:t>
      </w:r>
      <w:r>
        <w:rPr>
          <w:rFonts w:ascii="Calibri" w:cs="Calibri" w:eastAsia="Calibri" w:hAnsi="Calibri"/>
          <w:b/>
          <w:bCs/>
          <w:color w:val="1A1A1A"/>
          <w:sz w:val="21"/>
          <w:szCs w:val="21"/>
        </w:rPr>
        <w:t xml:space="preserve">MoralSim</w:t>
      </w:r>
      <w:r>
        <w:rPr>
          <w:rFonts w:ascii="Calibri" w:cs="Calibri" w:eastAsia="Calibri" w:hAnsi="Calibri"/>
          <w:color w:val="1A1A1A"/>
          <w:sz w:val="21"/>
          <w:szCs w:val="21"/>
        </w:rPr>
        <w:t xml:space="preserve"> (Backmann et al. &amp; Jin, 2025) separates what an agent's payoff rewards from what its stated ethics require, and watches which wins. </w:t>
      </w:r>
      <w:r>
        <w:rPr>
          <w:rFonts w:ascii="Calibri" w:cs="Calibri" w:eastAsia="Calibri" w:hAnsi="Calibri"/>
          <w:b/>
          <w:bCs/>
          <w:color w:val="1A1A1A"/>
          <w:sz w:val="21"/>
          <w:szCs w:val="21"/>
        </w:rPr>
        <w:t xml:space="preserve">CoopEval</w:t>
      </w:r>
      <w:r>
        <w:rPr>
          <w:rFonts w:ascii="Calibri" w:cs="Calibri" w:eastAsia="Calibri" w:hAnsi="Calibri"/>
          <w:color w:val="1A1A1A"/>
          <w:sz w:val="21"/>
          <w:szCs w:val="21"/>
        </w:rPr>
        <w:t xml:space="preserve"> (Tewolde, Zhang, Piedrahita, Conitzer &amp; Jin, ICML 2026) turns those designs into a benchmark of cooperation-sustaining mechanisms.</w:t>
      </w:r>
    </w:p>
    <w:p>
      <w:pPr>
        <w:spacing w:after="140" w:line="276"/>
      </w:pPr>
      <w:r>
        <w:rPr>
          <w:rFonts w:ascii="Calibri" w:cs="Calibri" w:eastAsia="Calibri" w:hAnsi="Calibri"/>
          <w:color w:val="1A1A1A"/>
          <w:sz w:val="21"/>
          <w:szCs w:val="21"/>
        </w:rPr>
        <w:t xml:space="preserve">Read together, that is a single research programme: </w:t>
      </w:r>
      <w:r>
        <w:rPr>
          <w:rFonts w:ascii="Calibri" w:cs="Calibri" w:eastAsia="Calibri" w:hAnsi="Calibri"/>
          <w:i/>
          <w:iCs/>
          <w:color w:val="1A1A1A"/>
          <w:sz w:val="21"/>
          <w:szCs w:val="21"/>
        </w:rPr>
        <w:t xml:space="preserve">give LLM agents an explicit payoff, put them in a dilemma with a known human-experimental benchmark, and measure what they do rather than what they say.</w:t>
      </w:r>
      <w:r>
        <w:rPr>
          <w:rFonts w:ascii="Calibri" w:cs="Calibri" w:eastAsia="Calibri" w:hAnsi="Calibri"/>
          <w:color w:val="1A1A1A"/>
          <w:sz w:val="21"/>
          <w:szCs w:val="21"/>
        </w:rPr>
        <w:t xml:space="preserve"> NudgeSim is not adjacent to this programme. It is an instance of it, applied to the one public good whose collapse is already a live policy problem.</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621"/>
        <w:gridCol w:w="3730"/>
        <w:gridCol w:w="3730"/>
      </w:tblGrid>
      <w:tr>
        <w:trPr>
          <w:tblHeader/>
        </w:trPr>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
            </w:r>
          </w:p>
        </w:tc>
        <w:tc>
          <w:tcPr>
            <w:tcW w:type="dxa" w:w="373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That line</w:t>
            </w:r>
          </w:p>
        </w:tc>
        <w:tc>
          <w:tcPr>
            <w:tcW w:type="dxa" w:w="373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NudgeSim</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public good</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shared resource (GovSim) or a contribution pot (SanctSim) — abstract by design, so the dilemma is clean.</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Accurate information in a feed. Verifying is privately costly; a less-polluted feed benefits everyone.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Free-riding</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Over-extraction; withholding contribution.</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Sharing engaging but unverified content: the conformity reward lands immediately, the veracity penalty is deferred.</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sanction</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Costly punishment of defectors (SanctSim).</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Costly peer correction — CHALLENGE, priced at κ.</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open question</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Who pays the sanction, and do reasoning models pay less?</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What happens when an outside agent is stipulated to pay it. Does an exogenous sanctioner build the society's own willingness to correct, or replace it?</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What is new here</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second-order question asked of an intervention rather than of the population: not whether agents sanction, but whether being sanctioned FOR changes whether they sanction.</w:t>
            </w:r>
          </w:p>
        </w:tc>
      </w:tr>
    </w:tbl>
    <w:p>
      <w:pPr>
        <w:spacing w:after="140" w:line="276"/>
      </w:pPr>
      <w:r>
        <w:rPr>
          <w:rFonts w:ascii="Calibri" w:cs="Calibri" w:eastAsia="Calibri" w:hAnsi="Calibri"/>
          <w:color w:val="1A1A1A"/>
          <w:sz w:val="21"/>
          <w:szCs w:val="21"/>
        </w:rPr>
        <w:t xml:space="preserve">This framing also explains the choice of headline outcome. Propagation of the false claim is the obvious dependent variable and the one the misinformation literature reports; </w:t>
      </w:r>
      <w:r>
        <w:rPr>
          <w:rFonts w:ascii="Calibri" w:cs="Calibri" w:eastAsia="Calibri" w:hAnsi="Calibri"/>
          <w:b/>
          <w:bCs/>
          <w:color w:val="1A1A1A"/>
          <w:sz w:val="21"/>
          <w:szCs w:val="21"/>
        </w:rPr>
        <w:t xml:space="preserve">endogenous peer correction is the one this line would ask for</w:t>
      </w:r>
      <w:r>
        <w:rPr>
          <w:rFonts w:ascii="Calibri" w:cs="Calibri" w:eastAsia="Calibri" w:hAnsi="Calibri"/>
          <w:color w:val="1A1A1A"/>
          <w:sz w:val="21"/>
          <w:szCs w:val="21"/>
        </w:rPr>
        <w:t xml:space="preserve">, because it is second-order cooperation measured as an action the agent pays for. A study that lowered propagation while quietly eroding the society's own willingness to correct would look like a success on the first measure and a failure on the second, and only the second is about cooperation.</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EAF1F8" w:color="auto" w:val="clear"/>
            <w:tcMar>
              <w:top w:type="dxa" w:w="70"/>
              <w:left w:type="dxa" w:w="110"/>
              <w:bottom w:type="dxa" w:w="70"/>
              <w:right w:type="dxa" w:w="110"/>
            </w:tcMar>
          </w:tcPr>
          <w:p>
            <w:pPr>
              <w:spacing w:after="60" w:line="260"/>
            </w:pPr>
            <w:r>
              <w:rPr>
                <w:rFonts w:ascii="Calibri" w:cs="Calibri" w:eastAsia="Calibri" w:hAnsi="Calibri"/>
                <w:b/>
                <w:bCs/>
                <w:color w:val="1F4E79"/>
                <w:sz w:val="20"/>
                <w:szCs w:val="20"/>
              </w:rPr>
              <w:t xml:space="preserve">What the reference implementation already says to this line</w:t>
            </w:r>
          </w:p>
          <w:p>
            <w:pPr>
              <w:spacing w:after="60" w:line="260"/>
            </w:pPr>
            <w:r>
              <w:rPr>
                <w:rFonts w:ascii="Calibri" w:cs="Calibri" w:eastAsia="Calibri" w:hAnsi="Calibri"/>
                <w:color w:val="1A1A1A"/>
                <w:sz w:val="20"/>
                <w:szCs w:val="20"/>
              </w:rPr>
              <w:t xml:space="preserve">Two results from building and running the design are about the programme, not about misinformation specifically, and both would apply to any study in it.</w:t>
            </w:r>
          </w:p>
          <w:p>
            <w:pPr>
              <w:spacing w:after="60" w:line="260"/>
            </w:pPr>
            <w:r>
              <w:rPr>
                <w:rFonts w:ascii="Calibri" w:cs="Calibri" w:eastAsia="Calibri" w:hAnsi="Calibri"/>
                <w:b/>
                <w:bCs/>
                <w:color w:val="1A1A1A"/>
                <w:sz w:val="21"/>
                <w:szCs w:val="21"/>
              </w:rPr>
              <w:t xml:space="preserve">Backbone dominates mechanism. </w:t>
            </w:r>
            <w:r>
              <w:rPr>
                <w:rFonts w:ascii="Calibri" w:cs="Calibri" w:eastAsia="Calibri" w:hAnsi="Calibri"/>
                <w:color w:val="1A1A1A"/>
                <w:sz w:val="21"/>
                <w:szCs w:val="21"/>
              </w:rPr>
              <w:t xml:space="preserve">Across the grid, which model family the citizens run on accounts for roughly thirty per cent of the variance in peer correction, against single digits for the intervention's timing and tone. If that survives contact with real backbones, then in this class of study the model is not a nuisance parameter to be averaged over — it is the largest effect in the room, and a mechanism benchmark that reports a single backbone is reporting one draw from a wide distribution.</w:t>
            </w:r>
          </w:p>
          <w:p>
            <w:pPr>
              <w:spacing w:after="60" w:line="260"/>
            </w:pPr>
            <w:r>
              <w:rPr>
                <w:rFonts w:ascii="Calibri" w:cs="Calibri" w:eastAsia="Calibri" w:hAnsi="Calibri"/>
                <w:b/>
                <w:bCs/>
                <w:color w:val="1A1A1A"/>
                <w:sz w:val="21"/>
                <w:szCs w:val="21"/>
              </w:rPr>
              <w:t xml:space="preserve">Summing a payoff function is not a welfare measure. </w:t>
            </w:r>
            <w:r>
              <w:rPr>
                <w:rFonts w:ascii="Calibri" w:cs="Calibri" w:eastAsia="Calibri" w:hAnsi="Calibri"/>
                <w:color w:val="1A1A1A"/>
                <w:sz w:val="21"/>
                <w:szCs w:val="21"/>
              </w:rPr>
              <w:t xml:space="preserve">Total payoff ranked every working intervention below doing nothing, because the sanction costs it charges are exactly what a working intervention generates. Removing them was not enough either: the conformity term then dominated, and conformity is maximised by the arm where nobody disagrees. Only the veracity term is stable. Any design in this line that reports Σπ as welfare inherits the same problem, and the fix is to report the component that tracks the good being provided.</w:t>
            </w:r>
          </w:p>
        </w:tc>
      </w:tr>
    </w:tbl>
    <w:p>
      <w:pPr>
        <w:spacing w:after="140" w:line="276"/>
      </w:pPr>
      <w:r>
        <w:t xml:space="preserve">The contribution claim is therefore stated as: prior work has observed that correction timing and framing matter; NudgeSim formalises the setting as a social dilemma, isolates the causal contribution of timing and tone under matched incentives, and asks the question the descriptive literature cannot — whether an AI intervener builds or erodes a community's own willingness to correct. MADD and CoSim are cited as motivation and as calibration references, not treated as absent.</w:t>
      </w:r>
    </w:p>
    <w:p>
      <w:pPr>
        <w:pStyle w:val="Heading1"/>
        <w:pBdr>
          <w:bottom w:val="single" w:color="C9D6E4" w:sz="6" w:space="6"/>
        </w:pBdr>
        <w:spacing w:after="160" w:before="360"/>
      </w:pPr>
      <w:r>
        <w:rPr>
          <w:rFonts w:ascii="Calibri" w:cs="Calibri" w:eastAsia="Calibri" w:hAnsi="Calibri"/>
          <w:b/>
          <w:bCs/>
          <w:color w:val="1F4E79"/>
          <w:sz w:val="32"/>
          <w:szCs w:val="32"/>
        </w:rPr>
        <w:t xml:space="preserve">3. Theoretical Framework: Information Sharing as a Public Goods Game with Costly Correction</w:t>
      </w:r>
    </w:p>
    <w:p>
      <w:pPr>
        <w:pStyle w:val="Heading2"/>
        <w:spacing w:after="120" w:before="280"/>
      </w:pPr>
      <w:r>
        <w:rPr>
          <w:rFonts w:ascii="Calibri" w:cs="Calibri" w:eastAsia="Calibri" w:hAnsi="Calibri"/>
          <w:b/>
          <w:bCs/>
          <w:color w:val="1F4E79"/>
          <w:sz w:val="26"/>
          <w:szCs w:val="26"/>
        </w:rPr>
        <w:t xml:space="preserve">3.1 Why formalise at all</w:t>
      </w:r>
    </w:p>
    <w:p>
      <w:pPr>
        <w:spacing w:after="140" w:line="276"/>
      </w:pPr>
      <w:r>
        <w:t xml:space="preserve">Descriptive agent simulations are hard to review because there is no benchmark against which "the agents behaved badly" means anything. Giving citizens an explicit payoff buys three things at once: a normative reference point (what a payoff-maximising agent should do), a set of behavioural dependent variables that do not require interpreting an LLM's self-reported beliefs, and direct comparability to human experimental economics, where the same dilemma has been run on people for two decades (Fehr &amp; Gächter, 2002; Gürerk, Irlenbusch &amp; Rockenbach, 2006).</w:t>
      </w:r>
    </w:p>
    <w:p>
      <w:pPr>
        <w:pStyle w:val="Heading2"/>
        <w:spacing w:after="120" w:before="280"/>
      </w:pPr>
      <w:r>
        <w:rPr>
          <w:rFonts w:ascii="Calibri" w:cs="Calibri" w:eastAsia="Calibri" w:hAnsi="Calibri"/>
          <w:b/>
          <w:bCs/>
          <w:color w:val="1F4E79"/>
          <w:sz w:val="26"/>
          <w:szCs w:val="26"/>
        </w:rPr>
        <w:t xml:space="preserve">3.2 Action space and payoffs</w:t>
      </w:r>
    </w:p>
    <w:p>
      <w:pPr>
        <w:spacing w:after="140" w:line="276"/>
      </w:pPr>
      <w:r>
        <w:t xml:space="preserve">At each round t, every citizen i observes its local feed and takes one action on the focal claim m:</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a_i,t  ∈  { SHARE(m),  ENDORSE(m),  CHALLENGE(m),  IGNORE }</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π_i,t  =  β · C_i,t        # conformity / engagement reward  (immediate, certain)</w:t>
            </w:r>
          </w:p>
          <w:p>
            <w:pPr>
              <w:spacing w:after="0" w:line="240"/>
            </w:pPr>
            <w:r>
              <w:rPr>
                <w:rFonts w:ascii="Consolas" w:cs="Consolas" w:eastAsia="Consolas" w:hAnsi="Consolas"/>
                <w:color w:val="1A1A1A"/>
                <w:sz w:val="18"/>
                <w:szCs w:val="18"/>
              </w:rPr>
              <w:t xml:space="preserve">        + γ · V_i           # veracity reward                (deferred to episode end)</w:t>
            </w:r>
          </w:p>
          <w:p>
            <w:pPr>
              <w:spacing w:after="0" w:line="240"/>
            </w:pPr>
            <w:r>
              <w:rPr>
                <w:rFonts w:ascii="Consolas" w:cs="Consolas" w:eastAsia="Consolas" w:hAnsi="Consolas"/>
                <w:color w:val="1A1A1A"/>
                <w:sz w:val="18"/>
                <w:szCs w:val="18"/>
              </w:rPr>
              <w:t xml:space="preserve">        − κ · 1[a_i,t = CHALLENGE]   # verification + social-friction cost</w:t>
            </w:r>
          </w:p>
          <w:p>
            <w:pPr>
              <w:spacing w:after="0" w:line="240"/>
            </w:pPr>
            <w:r>
              <w:rPr>
                <w:rFonts w:ascii="Consolas" w:cs="Consolas" w:eastAsia="Consolas" w:hAnsi="Consolas"/>
                <w:color w:val="1A1A1A"/>
                <w:sz w:val="18"/>
                <w:szCs w:val="18"/>
              </w:rPr>
              <w:t xml:space="preserve">        − δ · D_i,t         # reputation damage when i's own endorsement is challenged</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C_i,t = # neighbours whose visible stance this round matches a_i,t</w:t>
            </w:r>
          </w:p>
          <w:p>
            <w:pPr>
              <w:spacing w:after="0" w:line="240"/>
            </w:pPr>
            <w:r>
              <w:rPr>
                <w:rFonts w:ascii="Consolas" w:cs="Consolas" w:eastAsia="Consolas" w:hAnsi="Consolas"/>
                <w:color w:val="1A1A1A"/>
                <w:sz w:val="18"/>
                <w:szCs w:val="18"/>
              </w:rPr>
              <w:t xml:space="preserve">V_i   = (+1 per true claim endorsed) + (−1 per false claim endorsed), paid at t = 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Defaults: β = 1, γ = 6, κ = 2, δ = 3, T = 16   (all swept in robustness; see §5.9)</w:t>
            </w:r>
          </w:p>
        </w:tc>
      </w:tr>
    </w:tbl>
    <w:p>
      <w:pPr>
        <w:spacing w:after="140" w:line="276"/>
      </w:pPr>
      <w:r>
        <w:rPr>
          <w:rFonts w:ascii="Calibri" w:cs="Calibri" w:eastAsia="Calibri" w:hAnsi="Calibri"/>
          <w:b/>
          <w:bCs/>
          <w:color w:val="1A1A1A"/>
          <w:sz w:val="21"/>
          <w:szCs w:val="21"/>
        </w:rPr>
        <w:t xml:space="preserve">Accounting conventions, made explicit in v2.1.</w:t>
      </w:r>
      <w:r>
        <w:rPr>
          <w:rFonts w:ascii="Calibri" w:cs="Calibri" w:eastAsia="Calibri" w:hAnsi="Calibri"/>
          <w:color w:val="1A1A1A"/>
          <w:sz w:val="21"/>
          <w:szCs w:val="21"/>
        </w:rPr>
        <w:t xml:space="preserve"> Three details that §3.2 leaves implicit change the numbers materially and are now declared rather than left to the implementer: (i) C counts matching </w:t>
      </w:r>
      <w:r>
        <w:rPr>
          <w:rFonts w:ascii="Calibri" w:cs="Calibri" w:eastAsia="Calibri" w:hAnsi="Calibri"/>
          <w:i/>
          <w:iCs/>
          <w:color w:val="1A1A1A"/>
          <w:sz w:val="21"/>
          <w:szCs w:val="21"/>
        </w:rPr>
        <w:t xml:space="preserve">stance</w:t>
      </w:r>
      <w:r>
        <w:rPr>
          <w:rFonts w:ascii="Calibri" w:cs="Calibri" w:eastAsia="Calibri" w:hAnsi="Calibri"/>
          <w:color w:val="1A1A1A"/>
          <w:sz w:val="21"/>
          <w:szCs w:val="21"/>
        </w:rPr>
        <w:t xml:space="preserve">, so SHARE and ENDORSE are mutually conforming; (ii) V is charged once per distinct claim endorsed, not once per endorsing action; (iii) an agent that challenges a claim it previously endorsed has publicly retracted and takes no δ that round, whereas an agent that endorsed and then went </w:t>
      </w:r>
      <w:r>
        <w:rPr>
          <w:rFonts w:ascii="Calibri" w:cs="Calibri" w:eastAsia="Calibri" w:hAnsi="Calibri"/>
          <w:i/>
          <w:iCs/>
          <w:color w:val="1A1A1A"/>
          <w:sz w:val="21"/>
          <w:szCs w:val="21"/>
        </w:rPr>
        <w:t xml:space="preserve">silent</w:t>
      </w:r>
      <w:r>
        <w:rPr>
          <w:rFonts w:ascii="Calibri" w:cs="Calibri" w:eastAsia="Calibri" w:hAnsi="Calibri"/>
          <w:color w:val="1A1A1A"/>
          <w:sz w:val="21"/>
          <w:szCs w:val="21"/>
        </w:rPr>
        <w:t xml:space="preserve"> remains exposed. Each is a switch in the reference implementation, and each is unit-tested against hand-computed episodes.</w:t>
      </w:r>
    </w:p>
    <w:p>
      <w:pPr>
        <w:spacing w:after="140" w:line="276"/>
      </w:pPr>
      <w:r>
        <w:t xml:space="preserve">The mapping is deliberate. Accurate information is the public good. Verification is the contribution, privately costly and socially beneficial. Sharing engaging but unverified content is free-riding — it collects the conformity reward immediately at no verification cost, while the veracity penalty is deferred and uncertain. Challenging another agent is costly peer punishment, which creates the second-order dilemma that SanctSim studies in the public-goods setting: sanctioning sustains cooperation, but sanctioning is itself a contribution nobody is individually motivated to make.</w:t>
      </w:r>
    </w:p>
    <w:p>
      <w:pPr>
        <w:pStyle w:val="Heading2"/>
        <w:spacing w:after="120" w:before="280"/>
      </w:pPr>
      <w:r>
        <w:rPr>
          <w:rFonts w:ascii="Calibri" w:cs="Calibri" w:eastAsia="Calibri" w:hAnsi="Calibri"/>
          <w:b/>
          <w:bCs/>
          <w:color w:val="1F4E79"/>
          <w:sz w:val="26"/>
          <w:szCs w:val="26"/>
        </w:rPr>
        <w:t xml:space="preserve">3.3 The benchmark, and where the intervener enters</w:t>
      </w:r>
    </w:p>
    <w:p>
      <w:pPr>
        <w:spacing w:after="140" w:line="276"/>
      </w:pPr>
      <w:r>
        <w:t xml:space="preserve">With β &gt; 0, κ &gt; 0, and the veracity reward deferred to the end of the episode, the myopic stage-game best response for a citizen is to conform to the locally visible majority and never pay κ. Cumulative pollution should therefore be maximal in the no-intervener control, while the welfare-maximising profile requires someone to absorb κ. The Devil's Advocate is the one agent for whom paying κ is stipulated, not chosen.</w:t>
      </w:r>
    </w:p>
    <w:p>
      <w:pPr>
        <w:spacing w:after="140" w:line="276"/>
      </w:pPr>
      <w:r>
        <w:t xml:space="preserve">This turns a vague question ("does the AI help?") into a sharp one: does an exogenous sanctioner change whether citizens start paying κ themselves? Human experimental economics gives competing predictions. Institutional sanctioning can migrate a population toward cooperation (Gürerk et al., 2006), but external enforcement can also crowd out voluntary cooperation by reframing a normative act as a policed one (Fehr &amp; Rockenbach, 2003; Bowles, 2008). Whether tone determines which of these two regimes obtains is, to our knowledge, untested in either literature.</w:t>
      </w:r>
    </w:p>
    <w:p>
      <w:pPr>
        <w:spacing w:after="140" w:line="276"/>
      </w:pPr>
      <w:r>
        <w:t xml:space="preserve">The ratio β/γ has a direct platform-design reading: it is how much more a platform pays for engagement than for accuracy. Sweeping it is not a robustness afterthought but a policy-relevant second axis (§5.9).</w:t>
      </w:r>
    </w:p>
    <w:p>
      <w:pPr>
        <w:pStyle w:val="Heading1"/>
        <w:pBdr>
          <w:bottom w:val="single" w:color="C9D6E4" w:sz="6" w:space="6"/>
        </w:pBdr>
        <w:spacing w:after="160" w:before="360"/>
      </w:pPr>
      <w:r>
        <w:rPr>
          <w:rFonts w:ascii="Calibri" w:cs="Calibri" w:eastAsia="Calibri" w:hAnsi="Calibri"/>
          <w:b/>
          <w:bCs/>
          <w:color w:val="1F4E79"/>
          <w:sz w:val="32"/>
          <w:szCs w:val="32"/>
        </w:rPr>
        <w:t xml:space="preserve">4. Research Questions and Hypotheses</w:t>
      </w:r>
    </w:p>
    <w:p>
      <w:pPr>
        <w:spacing w:after="140" w:line="276"/>
      </w:pPr>
      <w:r>
        <w:t xml:space="preserve">Every primary hypothesis is stated over an action the agent takes and pays for, not over a belief it reports.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210"/>
        <w:gridCol w:w="8870"/>
      </w:tblGrid>
      <w:tr>
        <w:trPr>
          <w:tblHeader/>
        </w:trPr>
        <w:tc>
          <w:tcPr>
            <w:tcW w:type="dxa" w:w="12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RQ</w:t>
            </w:r>
          </w:p>
        </w:tc>
        <w:tc>
          <w:tcPr>
            <w:tcW w:type="dxa" w:w="887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Question</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RQ1 (Timing)</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intervening before a local majority forms reduce cumulative propagation of the false claim relative to intervening after?</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RQ2 (Tone)</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empathetic nudging or aggressive debunking produce more durable suppression, holding the factual payload constant?</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RQ3 (Headline)</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the intervener catalyse or crowd out endogenous peer correction, and does tone determine which?</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RQ4 (Models)</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 the timing and tone effects replicate across model families, or is "the right way to intervene" backbone-specific?</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RQ5 (Specificity)</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the intervener also suppress true claims — i.e. does correction generalise into indiscriminate skepticism?</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RQ6 (Composition)</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 a society of different models, does one model free-ride on another's correction, and do backbone effects on peer correction survive when claim, topology, intervention and seed are held fixed within the same episode?</w:t>
            </w:r>
          </w:p>
        </w:tc>
      </w:tr>
    </w:tbl>
    <w:p>
      <w:pPr>
        <w:spacing w:after="140" w:line="276"/>
      </w:pPr>
      <w:r>
        <w:t xml:space="preserve"/>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907"/>
        <w:gridCol w:w="6149"/>
        <w:gridCol w:w="3024"/>
      </w:tblGrid>
      <w:tr>
        <w:trPr>
          <w:tblHeader/>
        </w:trPr>
        <w:tc>
          <w:tcPr>
            <w:tcW w:type="dxa" w:w="90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H</w:t>
            </w:r>
          </w:p>
        </w:tc>
        <w:tc>
          <w:tcPr>
            <w:tcW w:type="dxa" w:w="614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Statement</w:t>
            </w:r>
          </w:p>
        </w:tc>
        <w:tc>
          <w:tcPr>
            <w:tcW w:type="dxa" w:w="302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Confirmatory tier (v2.1, §5.9)</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H1</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Early intervention yields lower cumulative propagation than late intervention.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1 — focused arm</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H2</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Aggressive debunking produces faster initial suppression; empathetic nudging produces more durable suppression. Framed as a test between competing predictions, given the contested backfire literature.</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2 — exploratory</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H3</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nudging raises the endogenous peer-correction rate above control; aggressive debunking suppresses it below control, even where it lowers propagation.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1 — focused arm (headline)</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H4</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Timing moderates tone: aggressive debunking is relatively more viable early, before positions are publicly committed and reputation damage is at stake.</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2 — exploratory</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H5</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Effect sizes differ across model families by more than they differ across timing conditions — i.e. backbone choice dominates intervention design.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1 — core grid</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H6</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between-model spread in peer-correction rate (H5) persists when measured within a single mixed-model episode — same claim, topology, intervention and seed — rather than between episodes; a model's own correction rate does not detectably depend on whether its neighbours are copies of itself.</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2 — exploratory (new arm, §5.11)</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why the hypotheses are now tiered</w:t>
            </w:r>
          </w:p>
          <w:p>
            <w:pPr>
              <w:spacing w:after="60" w:line="260"/>
            </w:pPr>
            <w:r>
              <w:rPr>
                <w:rFonts w:ascii="Calibri" w:cs="Calibri" w:eastAsia="Calibri" w:hAnsi="Calibri"/>
                <w:color w:val="1A1A1A"/>
                <w:sz w:val="20"/>
                <w:szCs w:val="20"/>
              </w:rPr>
              <w:t xml:space="preserve">The reference implementation shows that at 30 seeds/cell the core grid powers exactly one primary contrast (intervention vs control on EPC, d ≈ 0.80, n ≈ 26). H1 needs ~105 seeds/cell and H3 ~259. Declaring every hypothesis confirmatory at a sample that cannot test four of them is the kind of thing reviewers catch and preregistration is supposed to prevent.</w:t>
            </w:r>
          </w:p>
          <w:p>
            <w:pPr>
              <w:spacing w:after="60" w:line="260"/>
            </w:pPr>
            <w:r>
              <w:rPr>
                <w:rFonts w:ascii="Calibri" w:cs="Calibri" w:eastAsia="Calibri" w:hAnsi="Calibri"/>
                <w:color w:val="1A1A1A"/>
                <w:sz w:val="20"/>
                <w:szCs w:val="20"/>
              </w:rPr>
              <w:t xml:space="preserve">H3 is small for a structural reason worth stating in the manuscript: tone reaches peer correction through two opposing channels. An aggressive corrector displaces responsibility (lowering EPC) and also updates beliefs harder (raising it). The net is a difference of two larger quantities — precisely the shape of effect a small design cannot resolve.</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5. Experimental Design</w:t>
      </w:r>
    </w:p>
    <w:p>
      <w:pPr>
        <w:pStyle w:val="Heading2"/>
        <w:spacing w:after="120" w:before="280"/>
      </w:pPr>
      <w:r>
        <w:rPr>
          <w:rFonts w:ascii="Calibri" w:cs="Calibri" w:eastAsia="Calibri" w:hAnsi="Calibri"/>
          <w:b/>
          <w:bCs/>
          <w:color w:val="1F4E79"/>
          <w:sz w:val="26"/>
          <w:szCs w:val="26"/>
        </w:rPr>
        <w:t xml:space="preserve">5.1 Agent society (N = 7)</w:t>
      </w:r>
    </w:p>
    <w:p>
      <w:pPr>
        <w:spacing w:after="140" w:line="276"/>
      </w:pPr>
      <w:r>
        <w:t xml:space="preserve">Seven agents matches the scale at which the sanctioning dilemma has been studied in this literature and is large enough to produce genuine local-majority dynamics among five citizens. All citizens share identical scaffolding — same memory window, same action space, same payoff accounting — and differ only in persona prompts, so behavioural differences are attributable to persona and condition rather than architecture.</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613"/>
        <w:gridCol w:w="2218"/>
        <w:gridCol w:w="6250"/>
      </w:tblGrid>
      <w:tr>
        <w:trPr>
          <w:tblHeader/>
        </w:trPr>
        <w:tc>
          <w:tcPr>
            <w:tcW w:type="dxa" w:w="1613"/>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Agent</w:t>
            </w:r>
          </w:p>
        </w:tc>
        <w:tc>
          <w:tcPr>
            <w:tcW w:type="dxa" w:w="221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Role</w:t>
            </w:r>
          </w:p>
        </w:tc>
        <w:tc>
          <w:tcPr>
            <w:tcW w:type="dxa" w:w="625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Behavioural policy</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Citizens A1, A2</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Left-leaning personas</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Payoff-maximising under a persona prior that raises the conformity reward for congruent claims.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Citizens B1, B2</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Right-leaning personas</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Mirror of A, with the opposite congruence prior.</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 C</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Neutral conformist</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 ideological prior; responds to whichever signal dominates its neighbourhood.</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Disseminator</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Bad actor (fixed policy)</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Injects and re-frames false claims from the LIAR pool; not payoff-responsive, so it cannot be "corrected" and functions as a constant adversarial pressure.</w:t>
            </w:r>
          </w:p>
        </w:tc>
      </w:tr>
      <w:tr>
        <w:trPr>
          <w:tblHeader w:val="false"/>
        </w:trPr>
        <w:tc>
          <w:tcPr>
            <w:tcW w:type="dxa" w:w="1613"/>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Devil's Advocate</w:t>
            </w:r>
          </w:p>
        </w:tc>
        <w:tc>
          <w:tcPr>
            <w:tcW w:type="dxa" w:w="221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AI intervener (treatment)</w:t>
            </w:r>
          </w:p>
        </w:tc>
        <w:tc>
          <w:tcPr>
            <w:tcW w:type="dxa" w:w="625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Stipulated to absorb κ whenever it challenges. Enters per the active timing condition and remains active thereafter. Absent in control. v2.1: it first judges whether the claim is false and may decline to act — see §5.3.</w:t>
            </w:r>
          </w:p>
        </w:tc>
      </w:tr>
    </w:tbl>
    <w:p>
      <w:pPr>
        <w:pStyle w:val="Heading2"/>
        <w:spacing w:after="120" w:before="280"/>
      </w:pPr>
      <w:r>
        <w:rPr>
          <w:rFonts w:ascii="Calibri" w:cs="Calibri" w:eastAsia="Calibri" w:hAnsi="Calibri"/>
          <w:b/>
          <w:bCs/>
          <w:color w:val="1F4E79"/>
          <w:sz w:val="26"/>
          <w:szCs w:val="26"/>
        </w:rPr>
        <w:t xml:space="preserve">5.2 Network topology</w:t>
      </w:r>
    </w:p>
    <w:p>
      <w:pPr>
        <w:spacing w:after="140" w:line="276"/>
      </w:pPr>
      <w:r>
        <w:t xml:space="preserve">Each PHEME conversation thread ships a structure.json encoding the reply tree of a real rumour cascade. We sample connected 7-node motifs from these trees, map the Disseminator to the cascade root, and assign citizen roles to downstream nodes. Every condition is also run on one hand-specified canonical motif so that results are not an artifact of any single sampled topology.</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intervener placement and reach are now declared, not left to chance</w:t>
            </w:r>
          </w:p>
          <w:p>
            <w:pPr>
              <w:spacing w:after="60" w:line="260"/>
            </w:pPr>
            <w:r>
              <w:rPr>
                <w:rFonts w:ascii="Calibri" w:cs="Calibri" w:eastAsia="Calibri" w:hAnsi="Calibri"/>
                <w:color w:val="1A1A1A"/>
                <w:sz w:val="20"/>
                <w:szCs w:val="20"/>
              </w:rPr>
              <w:t xml:space="preserve">v2.0 specifies where the Disseminator goes but not where the intervener goes. This is not a detail: the Devil's Advocate is a peer in a network, so it is visible only to its neighbours. The intervener is now placed on the highest-degree non-root node, the position a platform-embedded corrector would occupy, and its reach is logged per episode and entered as a covariate in the primary models (reach correlates with peer correction at ρ = 0.34, p &lt; 1e-13).</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EAF1F8" w:color="auto" w:val="clear"/>
            <w:tcMar>
              <w:top w:type="dxa" w:w="70"/>
              <w:left w:type="dxa" w:w="110"/>
              <w:bottom w:type="dxa" w:w="70"/>
              <w:right w:type="dxa" w:w="110"/>
            </w:tcMar>
          </w:tcPr>
          <w:p>
            <w:pPr>
              <w:spacing w:after="60" w:line="260"/>
            </w:pPr>
            <w:r>
              <w:rPr>
                <w:rFonts w:ascii="Calibri" w:cs="Calibri" w:eastAsia="Calibri" w:hAnsi="Calibri"/>
                <w:b/>
                <w:bCs/>
                <w:color w:val="1F4E79"/>
                <w:sz w:val="20"/>
                <w:szCs w:val="20"/>
              </w:rPr>
              <w:t xml:space="preserve">v2.2 — the reply tree is not the visibility graph</w:t>
            </w:r>
          </w:p>
          <w:p>
            <w:pPr>
              <w:spacing w:after="60" w:line="260"/>
            </w:pPr>
            <w:r>
              <w:rPr>
                <w:rFonts w:ascii="Calibri" w:cs="Calibri" w:eastAsia="Calibri" w:hAnsi="Calibri"/>
                <w:color w:val="1A1A1A"/>
                <w:sz w:val="20"/>
                <w:szCs w:val="20"/>
              </w:rPr>
              <w:t xml:space="preserve">This is the change that mattered most, and it only appeared once the real PHEME release was in hand. Sampling a 7-node motif around the cascade root produces a BROADCAST STAR 69% of the time, because real PHEME cascades are broad and shallow (mean branching 4.46, mean depth 3.59). Rooted at the Disseminator, a star gives every citizen exactly one neighbour — the Disseminator. In 89% of real motifs no local majority could form among the five citizens, and no citizen could ever observe another paying the correction cost, which is the demonstration channel the headline outcome measures.</w:t>
            </w:r>
          </w:p>
          <w:p>
            <w:pPr>
              <w:spacing w:after="60" w:line="260"/>
            </w:pPr>
            <w:r>
              <w:rPr>
                <w:rFonts w:ascii="Calibri" w:cs="Calibri" w:eastAsia="Calibri" w:hAnsi="Calibri"/>
                <w:color w:val="1A1A1A"/>
                <w:sz w:val="20"/>
                <w:szCs w:val="20"/>
              </w:rPr>
              <w:t xml:space="preserve">Neither existing gate detects this. The section 5.7 calibration gate passes MORE comfortably on real PHEME than on surrogate topology, because it tests cascade shape and diffusion asymmetry and neither is sensitive to whether the agents can see one another.</w:t>
            </w:r>
          </w:p>
          <w:p>
            <w:pPr>
              <w:spacing w:after="60" w:line="260"/>
            </w:pPr>
            <w:r>
              <w:rPr>
                <w:rFonts w:ascii="Calibri" w:cs="Calibri" w:eastAsia="Calibri" w:hAnsi="Calibri"/>
                <w:b/>
                <w:bCs/>
                <w:color w:val="1A1A1A"/>
                <w:sz w:val="21"/>
                <w:szCs w:val="21"/>
              </w:rPr>
              <w:t xml:space="preserve">The cause is a conflation. </w:t>
            </w:r>
            <w:r>
              <w:rPr>
                <w:rFonts w:ascii="Calibri" w:cs="Calibri" w:eastAsia="Calibri" w:hAnsi="Calibri"/>
                <w:color w:val="1A1A1A"/>
                <w:sz w:val="21"/>
                <w:szCs w:val="21"/>
              </w:rPr>
              <w:t xml:space="preserve">structure.json is a reply tree — it records who answered whom. The design needs who can SEE whom, and a threaded conversation shows sibling replies too. Connecting every sibling is the opposite error: in a star every reply is a sibling of every other, so the motif becomes the complete graph, "local" majority becomes global, and the topology stops varying (measured: 68% of motifs become K7).</w:t>
            </w:r>
          </w:p>
          <w:p>
            <w:pPr>
              <w:spacing w:after="60" w:line="260"/>
            </w:pPr>
            <w:r>
              <w:rPr>
                <w:rFonts w:ascii="Calibri" w:cs="Calibri" w:eastAsia="Calibri" w:hAnsi="Calibri"/>
                <w:b/>
                <w:bCs/>
                <w:color w:val="1A1A1A"/>
                <w:sz w:val="21"/>
                <w:szCs w:val="21"/>
              </w:rPr>
              <w:t xml:space="preserve">Bounded attention. </w:t>
            </w:r>
            <w:r>
              <w:rPr>
                <w:rFonts w:ascii="Calibri" w:cs="Calibri" w:eastAsia="Calibri" w:hAnsi="Calibri"/>
                <w:color w:val="1A1A1A"/>
                <w:sz w:val="21"/>
                <w:szCs w:val="21"/>
              </w:rPr>
              <w:t xml:space="preserve">A thread view is ranked and truncated — a reader sees the source plus the replies near their own, not all fifty. Each reply is therefore linked to the w siblings following it in display order. At w = 1, on all 6,425 real threads: no motif is a star, none is complete, mean density 0.50, and no thread is discarded (the reach filter keeps 201 of 201 motifs, against 63 before). Effect sizes strengthen because the mechanism can operate: intervention → EPC rises from d = 0.69 to 0.93, and H1 from d = −0.38 to −0.61.</w:t>
            </w:r>
          </w:p>
        </w:tc>
      </w:tr>
    </w:tbl>
    <w:p>
      <w:pPr>
        <w:pStyle w:val="Heading2"/>
        <w:spacing w:after="120" w:before="280"/>
      </w:pPr>
      <w:r>
        <w:rPr>
          <w:rFonts w:ascii="Calibri" w:cs="Calibri" w:eastAsia="Calibri" w:hAnsi="Calibri"/>
          <w:b/>
          <w:bCs/>
          <w:color w:val="1F4E79"/>
          <w:sz w:val="26"/>
          <w:szCs w:val="26"/>
        </w:rPr>
        <w:t xml:space="preserve">5.3 Factors and conditions</w:t>
      </w:r>
    </w:p>
    <w:p>
      <w:pPr>
        <w:spacing w:after="140" w:line="276"/>
      </w:pPr>
      <w:r>
        <w:t xml:space="preserve">Episodes run 16 rounds (v2.1; see §5.5 on durability). Early injects the intervener at round 2, immediately after first amplification; Late at round 6, after a local majority (≥ 3 of 5 citizens endorsing) is established. Timing thresholds are tuned and frozen in the Month-2 pilot.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613"/>
        <w:gridCol w:w="2621"/>
        <w:gridCol w:w="2621"/>
        <w:gridCol w:w="3226"/>
      </w:tblGrid>
      <w:tr>
        <w:trPr>
          <w:tblHeader/>
        </w:trPr>
        <w:tc>
          <w:tcPr>
            <w:tcW w:type="dxa" w:w="1613"/>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Factor</w:t>
            </w:r>
          </w:p>
        </w:tc>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Level 1</w:t>
            </w:r>
          </w:p>
        </w:tc>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Level 2</w:t>
            </w:r>
          </w:p>
        </w:tc>
        <w:tc>
          <w:tcPr>
            <w:tcW w:type="dxa" w:w="322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Notes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F1 · Timing</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Early (round 2)</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Late (round 6)</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Intervener persists from entry onward. Both a fixed-round and a majority-triggered variant are implemented; the majority variant carries a latest-entry backstop so a cell where no majority forms does not silently become a second control.</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F2 · Tone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Aggressive debunking</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Factual payload identical and length-matched; only pragmatic framing differs.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F3 · Backbone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 model families</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GPT-4o-mini class, Claude Haiku class, Llama-3.1-8B-Instruct, Qwen-2.5-7B-Instruct (final list fixed at Week 4). Citizens only; judges held constant. Run both as monocultures (core grid, below) and as a mixed society within one episode (§5.11, new in v2.6).</w:t>
            </w:r>
          </w:p>
        </w:tc>
      </w:tr>
    </w:tbl>
    <w:p>
      <w:pPr>
        <w:spacing w:after="140" w:line="276"/>
      </w:pPr>
      <w:r>
        <w:t xml:space="preserve">This yields a 2 × 2 × 4 grid plus a per-model control — 20 cells — flanked by:</w:t>
      </w:r>
    </w:p>
    <w:p>
      <w:pPr>
        <w:pStyle w:val="ListParagraph"/>
        <w:numPr>
          <w:ilvl w:val="0"/>
          <w:numId w:val="2"/>
        </w:numPr>
        <w:spacing w:after="80" w:line="276"/>
      </w:pPr>
      <w:r>
        <w:rPr>
          <w:rFonts w:ascii="Calibri" w:cs="Calibri" w:eastAsia="Calibri" w:hAnsi="Calibri"/>
          <w:b/>
          <w:bCs/>
          <w:color w:val="1A1A1A"/>
          <w:sz w:val="21"/>
          <w:szCs w:val="21"/>
        </w:rPr>
        <w:t xml:space="preserve">Placebo arm (specificity). </w:t>
      </w:r>
      <w:r>
        <w:rPr>
          <w:rFonts w:ascii="Calibri" w:cs="Calibri" w:eastAsia="Calibri" w:hAnsi="Calibri"/>
          <w:color w:val="1A1A1A"/>
          <w:sz w:val="21"/>
          <w:szCs w:val="21"/>
        </w:rPr>
        <w:t xml:space="preserve">Matched true claims from LIAR run through the same conditions; the intervener should not suppress them.</w:t>
      </w:r>
    </w:p>
    <w:p>
      <w:pPr>
        <w:pStyle w:val="ListParagraph"/>
        <w:numPr>
          <w:ilvl w:val="0"/>
          <w:numId w:val="2"/>
        </w:numPr>
        <w:spacing w:after="80" w:line="276"/>
      </w:pPr>
      <w:r>
        <w:rPr>
          <w:rFonts w:ascii="Calibri" w:cs="Calibri" w:eastAsia="Calibri" w:hAnsi="Calibri"/>
          <w:b/>
          <w:bCs/>
          <w:color w:val="1A1A1A"/>
          <w:sz w:val="21"/>
          <w:szCs w:val="21"/>
        </w:rPr>
        <w:t xml:space="preserve">Ablation 1 — payoff visibility. </w:t>
      </w:r>
      <w:r>
        <w:rPr>
          <w:rFonts w:ascii="Calibri" w:cs="Calibri" w:eastAsia="Calibri" w:hAnsi="Calibri"/>
          <w:color w:val="1A1A1A"/>
          <w:sz w:val="21"/>
          <w:szCs w:val="21"/>
        </w:rPr>
        <w:t xml:space="preserve">Payoffs removed from the prompt and the episode run as pure narrative. Tests whether the game structure actually drives behaviour or whether the LLM is pattern-matching social discourse regardless.</w:t>
      </w:r>
    </w:p>
    <w:p>
      <w:pPr>
        <w:pStyle w:val="ListParagraph"/>
        <w:numPr>
          <w:ilvl w:val="0"/>
          <w:numId w:val="2"/>
        </w:numPr>
        <w:spacing w:after="80" w:line="276"/>
      </w:pPr>
      <w:r>
        <w:rPr>
          <w:rFonts w:ascii="Calibri" w:cs="Calibri" w:eastAsia="Calibri" w:hAnsi="Calibri"/>
          <w:b/>
          <w:bCs/>
          <w:color w:val="1A1A1A"/>
          <w:sz w:val="21"/>
          <w:szCs w:val="21"/>
        </w:rPr>
        <w:t xml:space="preserve">Ablation 2 — incentive ratio. </w:t>
      </w:r>
      <w:r>
        <w:rPr>
          <w:rFonts w:ascii="Calibri" w:cs="Calibri" w:eastAsia="Calibri" w:hAnsi="Calibri"/>
          <w:color w:val="1A1A1A"/>
          <w:sz w:val="21"/>
          <w:szCs w:val="21"/>
        </w:rPr>
        <w:t xml:space="preserve">β/γ swept across {0.5, 1, 3} to model platforms that reward engagement more or less than accuracy.</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the placebo arm needs an intervener that can decline to act</w:t>
            </w:r>
          </w:p>
          <w:p>
            <w:pPr>
              <w:spacing w:after="60" w:line="260"/>
            </w:pPr>
            <w:r>
              <w:rPr>
                <w:rFonts w:ascii="Calibri" w:cs="Calibri" w:eastAsia="Calibri" w:hAnsi="Calibri"/>
                <w:color w:val="1A1A1A"/>
                <w:sz w:val="20"/>
                <w:szCs w:val="20"/>
              </w:rPr>
              <w:t xml:space="preserve">As written, the Devil's Advocate is stipulated to challenge whatever claim it is pointed at. Run that against a true claim and it suppresses it by construction — so the specificity measure reports the wiring, not a property of the intervention, and RQ5 cannot come out any way but badly.</w:t>
            </w:r>
          </w:p>
          <w:p>
            <w:pPr>
              <w:spacing w:after="60" w:line="260"/>
            </w:pPr>
            <w:r>
              <w:rPr>
                <w:rFonts w:ascii="Calibri" w:cs="Calibri" w:eastAsia="Calibri" w:hAnsi="Calibri"/>
                <w:color w:val="1A1A1A"/>
                <w:sz w:val="20"/>
                <w:szCs w:val="20"/>
              </w:rPr>
              <w:t xml:space="preserve">The intervener now judges the claim's veracity once per episode and stays silent if it judges it sound. Its sensitivity and false-alarm rate are logged as first-class quantities, because the specificity of the intervention is bounded by the specificity of the intervener. With a real backbone the model's own reading of the claim supplies this judgement; in the reference implementation they are declared parameters.</w:t>
            </w:r>
          </w:p>
          <w:p>
            <w:pPr>
              <w:spacing w:after="60" w:line="260"/>
            </w:pPr>
            <w:r>
              <w:rPr>
                <w:rFonts w:ascii="Calibri" w:cs="Calibri" w:eastAsia="Calibri" w:hAnsi="Calibri"/>
                <w:color w:val="1A1A1A"/>
                <w:sz w:val="20"/>
                <w:szCs w:val="20"/>
              </w:rPr>
              <w:t xml:space="preserve">The consequence for analysis is in §8: pooled across all treated placebo episodes the contrast is null (p = 0.71), because episodes where the intervener correctly held its fire average out the ones where it did not. Conditional on it having fired, unwarranted challenges against true claims roughly double (+0.065, p = 0.002). The conditional contrast is now preregistered alongside the pooled one.</w:t>
            </w:r>
          </w:p>
        </w:tc>
      </w:tr>
    </w:tbl>
    <w:p>
      <w:pPr>
        <w:pStyle w:val="Heading2"/>
        <w:spacing w:after="120" w:before="280"/>
      </w:pPr>
      <w:r>
        <w:rPr>
          <w:rFonts w:ascii="Calibri" w:cs="Calibri" w:eastAsia="Calibri" w:hAnsi="Calibri"/>
          <w:b/>
          <w:bCs/>
          <w:color w:val="1F4E79"/>
          <w:sz w:val="26"/>
          <w:szCs w:val="26"/>
        </w:rPr>
        <w:t xml:space="preserve">5.4 Intervention prompt design</w:t>
      </w:r>
    </w:p>
    <w:p>
      <w:pPr>
        <w:spacing w:after="140" w:line="276"/>
      </w:pPr>
      <w:r>
        <w:t xml:space="preserve">Modes A and B carry the same factual correction payload, inserted through templated slots and matched on length; only pragmatic framing differs. A manipulation check (LLM-rated perceived tone, validated against human raters on a subsample) verifies the contrast, and a lexical-overlap check confirms payload equivalence. Without this, the tone manipulation would be confounded with informational content — the most obvious reviewer objection to any tone study.</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 SYSTEM PROMPT — Devil's Advocate (AI intervener)</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You are a peer in a small private network. Challenging a claim costs you κ</w:t>
            </w:r>
          </w:p>
          <w:p>
            <w:pPr>
              <w:spacing w:after="0" w:line="240"/>
            </w:pPr>
            <w:r>
              <w:rPr>
                <w:rFonts w:ascii="Consolas" w:cs="Consolas" w:eastAsia="Consolas" w:hAnsi="Consolas"/>
                <w:color w:val="1A1A1A"/>
                <w:sz w:val="18"/>
                <w:szCs w:val="18"/>
              </w:rPr>
              <w:t xml:space="preserve">points; you pay it anyway. Remain in character within this simulation.</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First decide whether the claim is actually false. If you judge it sound,</w:t>
            </w:r>
          </w:p>
          <w:p>
            <w:pPr>
              <w:spacing w:after="0" w:line="240"/>
            </w:pPr>
            <w:r>
              <w:rPr>
                <w:rFonts w:ascii="Consolas" w:cs="Consolas" w:eastAsia="Consolas" w:hAnsi="Consolas"/>
                <w:color w:val="1A1A1A"/>
                <w:sz w:val="18"/>
                <w:szCs w:val="18"/>
              </w:rPr>
              <w:t xml:space="preserve">say nothing this round.                              # v2.1, see §5.3</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[MODE A — EMPATHETIC NUDGE]</w:t>
            </w:r>
          </w:p>
          <w:p>
            <w:pPr>
              <w:spacing w:after="0" w:line="240"/>
            </w:pPr>
            <w:r>
              <w:rPr>
                <w:rFonts w:ascii="Consolas" w:cs="Consolas" w:eastAsia="Consolas" w:hAnsi="Consolas"/>
                <w:color w:val="1A1A1A"/>
                <w:sz w:val="18"/>
                <w:szCs w:val="18"/>
              </w:rPr>
              <w:t xml:space="preserve">  1. Acknowledge why the claim feels plausible or urgent.</w:t>
            </w:r>
          </w:p>
          <w:p>
            <w:pPr>
              <w:spacing w:after="0" w:line="240"/>
            </w:pPr>
            <w:r>
              <w:rPr>
                <w:rFonts w:ascii="Consolas" w:cs="Consolas" w:eastAsia="Consolas" w:hAnsi="Consolas"/>
                <w:color w:val="1A1A1A"/>
                <w:sz w:val="18"/>
                <w:szCs w:val="18"/>
              </w:rPr>
              <w:t xml:space="preserve">  2. Deliver {PAYLOAD} as shared inquiry, inviting verification.</w:t>
            </w:r>
          </w:p>
          <w:p>
            <w:pPr>
              <w:spacing w:after="0" w:line="240"/>
            </w:pPr>
            <w:r>
              <w:rPr>
                <w:rFonts w:ascii="Consolas" w:cs="Consolas" w:eastAsia="Consolas" w:hAnsi="Consolas"/>
                <w:color w:val="1A1A1A"/>
                <w:sz w:val="18"/>
                <w:szCs w:val="18"/>
              </w:rPr>
              <w:t xml:space="preserve">     e.g. "I can see why this is alarming — I looked up the full</w:t>
            </w:r>
          </w:p>
          <w:p>
            <w:pPr>
              <w:spacing w:after="0" w:line="240"/>
            </w:pPr>
            <w:r>
              <w:rPr>
                <w:rFonts w:ascii="Consolas" w:cs="Consolas" w:eastAsia="Consolas" w:hAnsi="Consolas"/>
                <w:color w:val="1A1A1A"/>
                <w:sz w:val="18"/>
                <w:szCs w:val="18"/>
              </w:rPr>
              <w:t xml:space="preserve">           transcript and it reads differently. Has anyone else checked?"</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[MODE B — AGGRESSIVE DEBUNKING]</w:t>
            </w:r>
          </w:p>
          <w:p>
            <w:pPr>
              <w:spacing w:after="0" w:line="240"/>
            </w:pPr>
            <w:r>
              <w:rPr>
                <w:rFonts w:ascii="Consolas" w:cs="Consolas" w:eastAsia="Consolas" w:hAnsi="Consolas"/>
                <w:color w:val="1A1A1A"/>
                <w:sz w:val="18"/>
                <w:szCs w:val="18"/>
              </w:rPr>
              <w:t xml:space="preserve">  1. Deliver {PAYLOAD} as immediate refutation.</w:t>
            </w:r>
          </w:p>
          <w:p>
            <w:pPr>
              <w:spacing w:after="0" w:line="240"/>
            </w:pPr>
            <w:r>
              <w:rPr>
                <w:rFonts w:ascii="Consolas" w:cs="Consolas" w:eastAsia="Consolas" w:hAnsi="Consolas"/>
                <w:color w:val="1A1A1A"/>
                <w:sz w:val="18"/>
                <w:szCs w:val="18"/>
              </w:rPr>
              <w:t xml:space="preserve">  2. Use rigid stance markers and assign responsibility.</w:t>
            </w:r>
          </w:p>
          <w:p>
            <w:pPr>
              <w:spacing w:after="0" w:line="240"/>
            </w:pPr>
            <w:r>
              <w:rPr>
                <w:rFonts w:ascii="Consolas" w:cs="Consolas" w:eastAsia="Consolas" w:hAnsi="Consolas"/>
                <w:color w:val="1A1A1A"/>
                <w:sz w:val="18"/>
                <w:szCs w:val="18"/>
              </w:rPr>
              <w:t xml:space="preserve">     e.g. "This is false per the official record. Stop spreading it."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{PAYLOAD} is identical across modes and length-matched via slot templates.</w:t>
            </w:r>
          </w:p>
        </w:tc>
      </w:tr>
    </w:tbl>
    <w:p>
      <w:pPr>
        <w:spacing w:after="140" w:line="276"/>
      </w:pPr>
      <w:r>
        <w:rPr>
          <w:rFonts w:ascii="Calibri" w:cs="Calibri" w:eastAsia="Calibri" w:hAnsi="Calibri"/>
          <w:i/>
          <w:iCs/>
          <w:color w:val="5A5A5A"/>
          <w:sz w:val="21"/>
          <w:szCs w:val="21"/>
        </w:rPr>
        <w:t xml:space="preserve">In the reference implementation the two arms are matched to within one token across the whole claim pool, with the payload surviving verbatim in both (Jaccard overlap 1.0). The check runs before any grid execution and blocks the run if it fails.</w:t>
      </w:r>
    </w:p>
    <w:p>
      <w:pPr>
        <w:pStyle w:val="Heading2"/>
        <w:spacing w:after="120" w:before="280"/>
      </w:pPr>
      <w:r>
        <w:rPr>
          <w:rFonts w:ascii="Calibri" w:cs="Calibri" w:eastAsia="Calibri" w:hAnsi="Calibri"/>
          <w:b/>
          <w:bCs/>
          <w:color w:val="1F4E79"/>
          <w:sz w:val="26"/>
          <w:szCs w:val="26"/>
        </w:rPr>
        <w:t xml:space="preserve">5.5 Outcome measures</w:t>
      </w:r>
    </w:p>
    <w:p>
      <w:pPr>
        <w:spacing w:after="140" w:line="276"/>
      </w:pPr>
      <w:r>
        <w:t xml:space="preserve">Primary measures are behavioural and payoff-linked. Self-reported credence is retained only as an exploratory secondary measure, explicitly framed as a model self-report rather than a proxy for human belief (§11).</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016"/>
        <w:gridCol w:w="4637"/>
        <w:gridCol w:w="3427"/>
      </w:tblGrid>
      <w:tr>
        <w:trPr>
          <w:tblHeader/>
        </w:trPr>
        <w:tc>
          <w:tcPr>
            <w:tcW w:type="dxa" w:w="201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Measure</w:t>
            </w:r>
          </w:p>
        </w:tc>
        <w:tc>
          <w:tcPr>
            <w:tcW w:type="dxa" w:w="463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Definition</w:t>
            </w:r>
          </w:p>
        </w:tc>
        <w:tc>
          <w:tcPr>
            <w:tcW w:type="dxa" w:w="342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Instrument</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False-claim propagation rate (FPR) — primary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Fraction of citizen actions per round that SHARE or ENDORSE the target false claim; cumulative FPR is the primary outcome.</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 from the action log — no judge required for the primary DV.</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Endogenous peer-correction rate (EPC) — headline</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Fraction of citizen actions that are CHALLENGE against the false claim, i.e. citizens voluntarily absorbing κ. Measures second-order cooperation.</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 from the action log; costs are debited in the payoff ledger.</w:t>
            </w:r>
          </w:p>
        </w:tc>
      </w:tr>
      <w:tr>
        <w:trPr>
          <w:tblHeader w:val="false"/>
        </w:trPr>
        <w:tc>
          <w:tcPr>
            <w:tcW w:type="dxa" w:w="2016"/>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Epistemic welfare (revised v2.2)</w:t>
            </w:r>
          </w:p>
        </w:tc>
        <w:tc>
          <w:tcPr>
            <w:tcW w:type="dxa" w:w="463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the veracity component, Σ γ·V_i. SECONDARY: conformity, challenge cost and reputation cost, each reported beside it; Σπ in full is reported but never argued from.</w:t>
            </w:r>
          </w:p>
        </w:tc>
        <w:tc>
          <w:tcPr>
            <w:tcW w:type="dxa" w:w="342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 ledger; unit-tested accounting.</w:t>
            </w:r>
          </w:p>
        </w:tc>
      </w:tr>
      <w:tr>
        <w:trPr>
          <w:tblHeader w:val="false"/>
        </w:trPr>
        <w:tc>
          <w:tcPr>
            <w:tcW w:type="dxa" w:w="2016"/>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Durability (revised)</w:t>
            </w:r>
          </w:p>
        </w:tc>
        <w:tc>
          <w:tcPr>
            <w:tcW w:type="dxa" w:w="463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area under the post-intervention FPR curve, normalised by rounds elapsed. SECONDARY: rounds until FPR falls below 50% of the control arm's peak and stays there.</w:t>
            </w:r>
          </w:p>
        </w:tc>
        <w:tc>
          <w:tcPr>
            <w:tcW w:type="dxa" w:w="342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Action log; Kaplan–Meier and log-rank on the secondary measure.</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False-correction rate (specificity)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CHALLENGE actions issued against true claims in the placebo arm, reported pooled and conditional on the intervener having fired (§5.3).</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Action log, placebo arm only.</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Reasoning-trace composition</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Distribution of stated motives behind each action (see §5.6).</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LLM classifier over private reasoning traces; human-validated.</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Reactance / toxicity (secondary)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Hostility and defensiveness in replies directed at the intervener; backfire detector.</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External published toxicity classifier, cross-checked by a second LLM judge distinct from the citizen backbones.</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Stated credence (exploratory)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0–100 self-reported credence at rounds 0, 8, 16 via out-of-band probes that never enter the shared feed.</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Interview-style probes; reported as model self-report only.</w:t>
            </w:r>
          </w:p>
        </w:tc>
      </w:tr>
    </w:tbl>
    <w:p>
      <w:pPr>
        <w:spacing w:after="140" w:line="276"/>
      </w:pPr>
      <w:r>
        <w:t xml:space="preserve">Note the deliberate design choice: the two outcomes the paper argues from are read directly off the action and payoff logs, not off an LLM judge. Judge-dependent measures are confined to mechanism analysis and secondary outcomes, which removes measurement-validity concerns from the critical path.</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why epistemic welfare had to be redefined</w:t>
            </w:r>
          </w:p>
          <w:p>
            <w:pPr>
              <w:spacing w:after="60" w:line="260"/>
            </w:pPr>
            <w:r>
              <w:rPr>
                <w:rFonts w:ascii="Calibri" w:cs="Calibri" w:eastAsia="Calibri" w:hAnsi="Calibri"/>
                <w:color w:val="1A1A1A"/>
                <w:sz w:val="20"/>
                <w:szCs w:val="20"/>
              </w:rPr>
              <w:t xml:space="preserve">Σπ as specified in v2.0 ranks every working intervention far below doing nothing. Reputation damage accounts for ~88% of all debits in treated arms, and the intervener's entire function is to generate the challenges that cause it. In the reference run the no-intervener control scores −26.5 while the best-performing intervention — the one that cuts propagation most and raises peer correction most — scores −152.7.</w:t>
            </w:r>
          </w:p>
          <w:p>
            <w:pPr>
              <w:spacing w:after="60" w:line="260"/>
            </w:pPr>
            <w:r>
              <w:rPr>
                <w:rFonts w:ascii="Calibri" w:cs="Calibri" w:eastAsia="Calibri" w:hAnsi="Calibri"/>
                <w:color w:val="1A1A1A"/>
                <w:sz w:val="20"/>
                <w:szCs w:val="20"/>
              </w:rPr>
              <w:t xml:space="preserve">This is not an implementation error. The ledger matches §3.2 exactly and is checked against hand-computed episodes. It is a specification problem: the measure is mechanically anti-correlated with the treatment, so the welfare result is determined before any agent acts. Sweeping the accounting convention does not rescue it — three conventions were implemented and all three preserve the ordering, because sanction costs are deadweight in the aggregate however they are counted.</w:t>
            </w:r>
          </w:p>
          <w:p>
            <w:pPr>
              <w:spacing w:after="60" w:line="260"/>
            </w:pPr>
            <w:r>
              <w:rPr>
                <w:rFonts w:ascii="Calibri" w:cs="Calibri" w:eastAsia="Calibri" w:hAnsi="Calibri"/>
                <w:color w:val="1A1A1A"/>
                <w:sz w:val="20"/>
                <w:szCs w:val="20"/>
              </w:rPr>
              <w:t xml:space="preserve">The first fix was the standard one in experimental public-goods work, where welfare is reported both with and without punishment costs (Fehr &amp; Gächter, 2002).</w:t>
            </w:r>
          </w:p>
          <w:p>
            <w:pPr>
              <w:spacing w:after="60" w:line="260"/>
            </w:pPr>
            <w:r>
              <w:rPr>
                <w:rFonts w:ascii="Calibri" w:cs="Calibri" w:eastAsia="Calibri" w:hAnsi="Calibri"/>
                <w:b/>
                <w:bCs/>
                <w:color w:val="1A1A1A"/>
                <w:sz w:val="21"/>
                <w:szCs w:val="21"/>
              </w:rPr>
              <w:t xml:space="preserve">v2.2: removing sanctions is necessary but not sufficient. </w:t>
            </w:r>
            <w:r>
              <w:rPr>
                <w:rFonts w:ascii="Calibri" w:cs="Calibri" w:eastAsia="Calibri" w:hAnsi="Calibri"/>
                <w:color w:val="1A1A1A"/>
                <w:sz w:val="21"/>
                <w:szCs w:val="21"/>
              </w:rPr>
              <w:t xml:space="preserve">Once the visibility model was corrected (section 5.2) and neighbourhoods became denser, the conformity term grew from roughly 35 points to roughly 90 and swamped everything else — and the CONTROL arm maximises conformity, because an unchallenged claim produces unanimity. Accuracy-plus-conformity therefore reverses and favours doing nothing again (control 67.7 against 62.2 for early empathetic).</w:t>
            </w:r>
          </w:p>
          <w:p>
            <w:pPr>
              <w:spacing w:after="60" w:line="260"/>
            </w:pPr>
            <w:r>
              <w:rPr>
                <w:rFonts w:ascii="Calibri" w:cs="Calibri" w:eastAsia="Calibri" w:hAnsi="Calibri"/>
                <w:color w:val="1A1A1A"/>
                <w:sz w:val="20"/>
                <w:szCs w:val="20"/>
              </w:rPr>
              <w:t xml:space="preserve">The veracity component is the only part of the payoff whose sign is stable across both visibility models: intervention beats control on accuracy under each (−27.4 against −30.0). That is the epistemically meaningful quantity. Conformity is a private engagement payoff, not a measure of how well-informed the society is, and summing it into a welfare figure was a smaller version of the original mistake.</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why pollution half-life had to be replaced</w:t>
            </w:r>
          </w:p>
          <w:p>
            <w:pPr>
              <w:spacing w:after="60" w:line="260"/>
            </w:pPr>
            <w:r>
              <w:rPr>
                <w:rFonts w:ascii="Calibri" w:cs="Calibri" w:eastAsia="Calibri" w:hAnsi="Calibri"/>
                <w:color w:val="1A1A1A"/>
                <w:sz w:val="20"/>
                <w:szCs w:val="20"/>
              </w:rPr>
              <w:t xml:space="preserve">Half-life as defined (FPR below 0.2, sustained) is reached in 10 of 480 treated episodes — 97.9% censoring. Kaplan–Meier medians are undefined in both tone arms and the log-rank test underlying H2 runs on ten events.</w:t>
            </w:r>
          </w:p>
          <w:p>
            <w:pPr>
              <w:spacing w:after="60" w:line="260"/>
            </w:pPr>
            <w:r>
              <w:rPr>
                <w:rFonts w:ascii="Calibri" w:cs="Calibri" w:eastAsia="Calibri" w:hAnsi="Calibri"/>
                <w:color w:val="1A1A1A"/>
                <w:sz w:val="20"/>
                <w:szCs w:val="20"/>
              </w:rPr>
              <w:t xml:space="preserve">The cause is structural rather than parametric: the Disseminator reposts every round and is by construction incorrigible, so FPR has a floor that a short episode with a single intervener cannot push through. Tuning the threshold alone does not fix a measure whose event almost never occurs.</w:t>
            </w:r>
          </w:p>
          <w:p>
            <w:pPr>
              <w:spacing w:after="60" w:line="260"/>
            </w:pPr>
            <w:r>
              <w:rPr>
                <w:rFonts w:ascii="Calibri" w:cs="Calibri" w:eastAsia="Calibri" w:hAnsi="Calibri"/>
                <w:color w:val="1A1A1A"/>
                <w:sz w:val="20"/>
                <w:szCs w:val="20"/>
              </w:rPr>
              <w:t xml:space="preserve">Area under the post-intervention FPR curve uses every round of every episode, has no censoring, and answers the same question — how much pollution the intervention actually prevented. The relative-threshold survival analysis is kept as a secondary, and T is extended from 12 to 16 rounds to give late-arm episodes room to resolve.</w:t>
            </w:r>
          </w:p>
        </w:tc>
      </w:tr>
    </w:tbl>
    <w:p>
      <w:pPr>
        <w:pStyle w:val="Heading2"/>
        <w:spacing w:after="120" w:before="280"/>
      </w:pPr>
      <w:r>
        <w:rPr>
          <w:rFonts w:ascii="Calibri" w:cs="Calibri" w:eastAsia="Calibri" w:hAnsi="Calibri"/>
          <w:b/>
          <w:bCs/>
          <w:color w:val="1F4E79"/>
          <w:sz w:val="26"/>
          <w:szCs w:val="26"/>
        </w:rPr>
        <w:t xml:space="preserve">5.6 Reasoning-trace taxonomy (mechanism analysis)</w:t>
      </w:r>
    </w:p>
    <w:p>
      <w:pPr>
        <w:spacing w:after="140" w:line="276"/>
      </w:pPr>
      <w:r>
        <w:t xml:space="preserve">Each citizen emits a private reasoning trace before acting. Traces are classified into a pre-registered taxonomy — accuracy-motivated, conformity-motivated, identity-protective, reactance / defiance toward the intervener, deference to the intervener, cost-avoidant, and strategic-engagement — using a judge model held constant across conditions. A 300-trace sample is human-coded by the candidate plus one independent coder, with Cohen's κ ≥ 0.7 as a gate. This converts "what happened" into "why", which is where the interesting cross-model differences are expected to live.</w:t>
      </w:r>
    </w:p>
    <w:p>
      <w:pPr>
        <w:pStyle w:val="Heading2"/>
        <w:spacing w:after="120" w:before="280"/>
      </w:pPr>
      <w:r>
        <w:rPr>
          <w:rFonts w:ascii="Calibri" w:cs="Calibri" w:eastAsia="Calibri" w:hAnsi="Calibri"/>
          <w:b/>
          <w:bCs/>
          <w:color w:val="1F4E79"/>
          <w:sz w:val="26"/>
          <w:szCs w:val="26"/>
        </w:rPr>
        <w:t xml:space="preserve">5.7 Face-validity calibration gate</w:t>
      </w:r>
    </w:p>
    <w:p>
      <w:pPr>
        <w:spacing w:after="140" w:line="276"/>
      </w:pPr>
      <w:r>
        <w:t xml:space="preserve">Before the main grid runs, the no-intervener control must reproduce empirical cascade behaviour within a pre-declared tolerance band: cascade depth and breadth distributions compared against the PHEME threads the topologies were drawn from, and the false-versus-true diffusion asymmetry reported for real platforms (Vosoughi, Roy &amp; Aral, 2018) reproduced in sign. If the baseline cannot reproduce known human cascade statistics, no causal claim about interventions inside it is worth making — so this is a hard Go/No-Go gate, not a robustness appendix. It is also a publishable result in its own right.</w:t>
      </w:r>
    </w:p>
    <w:p>
      <w:pPr>
        <w:spacing w:after="140" w:line="276"/>
      </w:pPr>
      <w:r>
        <w:rPr>
          <w:rFonts w:ascii="Calibri" w:cs="Calibri" w:eastAsia="Calibri" w:hAnsi="Calibri"/>
          <w:color w:val="1A1A1A"/>
          <w:sz w:val="21"/>
          <w:szCs w:val="21"/>
        </w:rPr>
        <w:t xml:space="preserve">Two implementation notes carried back into the plan. </w:t>
      </w:r>
      <w:r>
        <w:rPr>
          <w:rFonts w:ascii="Calibri" w:cs="Calibri" w:eastAsia="Calibri" w:hAnsi="Calibri"/>
          <w:b/>
          <w:bCs/>
          <w:color w:val="1A1A1A"/>
          <w:sz w:val="21"/>
          <w:szCs w:val="21"/>
        </w:rPr>
        <w:t xml:space="preserve">First</w:t>
      </w:r>
      <w:r>
        <w:rPr>
          <w:rFonts w:ascii="Calibri" w:cs="Calibri" w:eastAsia="Calibri" w:hAnsi="Calibri"/>
          <w:color w:val="1A1A1A"/>
          <w:sz w:val="21"/>
          <w:szCs w:val="21"/>
        </w:rPr>
        <w:t xml:space="preserve">, shape statistics are compared size-normalised: a 7-node induced motif cannot reproduce the absolute depth of a 25-node thread, so comparing raw depths would fail the gate for reasons unrelated to agent behaviour. </w:t>
      </w:r>
      <w:r>
        <w:rPr>
          <w:rFonts w:ascii="Calibri" w:cs="Calibri" w:eastAsia="Calibri" w:hAnsi="Calibri"/>
          <w:b/>
          <w:bCs/>
          <w:color w:val="1A1A1A"/>
          <w:sz w:val="21"/>
          <w:szCs w:val="21"/>
        </w:rPr>
        <w:t xml:space="preserve">Second</w:t>
      </w:r>
      <w:r>
        <w:rPr>
          <w:rFonts w:ascii="Calibri" w:cs="Calibri" w:eastAsia="Calibri" w:hAnsi="Calibri"/>
          <w:color w:val="1A1A1A"/>
          <w:sz w:val="21"/>
          <w:szCs w:val="21"/>
        </w:rPr>
        <w:t xml:space="preserve">, the asymmetry criterion is the sharp one and it is not free — nothing in the payoff function lets a claim's veracity influence behaviour before resolution, so an additional novelty channel is required, consistent with Vosoughi et al.'s own attribution of the asymmetry to novelty and arousal rather than to veracity as such. The gate demonstrably discriminates: with that channel the margin is +0.113 and the gate passes 6 of 6 seeds; without it the margin is +0.002 and it fails 5 of 6.</w:t>
      </w:r>
    </w:p>
    <w:p>
      <w:pPr>
        <w:pStyle w:val="Heading2"/>
        <w:spacing w:after="120" w:before="280"/>
      </w:pPr>
      <w:r>
        <w:rPr>
          <w:rFonts w:ascii="Calibri" w:cs="Calibri" w:eastAsia="Calibri" w:hAnsi="Calibri"/>
          <w:b/>
          <w:bCs/>
          <w:color w:val="1F4E79"/>
          <w:sz w:val="26"/>
          <w:szCs w:val="26"/>
        </w:rPr>
        <w:t xml:space="preserve">5.8 Scale check</w:t>
      </w:r>
    </w:p>
    <w:p>
      <w:pPr>
        <w:spacing w:after="140" w:line="276"/>
      </w:pPr>
      <w:r>
        <w:t xml:space="preserve">The core grid is a controlled mechanism study at N = 7, and is described as such. Because "network-level pollution" claims are not credible at that scale alone, a reduced condition set (best and worst tone × both timings, one backbone, 10 seeds each) is re-run at N = 50 on the OASIS platform, which is built for populations of this size and above. Agreement in the direction of the timing and tone effects between N = 7 and N = 50 is the external-validity evidence; disagreement is itself a reportable finding about scale-dependence.</w:t>
      </w:r>
    </w:p>
    <w:p>
      <w:pPr>
        <w:spacing w:after="140" w:line="276"/>
      </w:pPr>
      <w:r>
        <w:rPr>
          <w:rFonts w:ascii="Calibri" w:cs="Calibri" w:eastAsia="Calibri" w:hAnsi="Calibri"/>
          <w:i/>
          <w:iCs/>
          <w:color w:val="5A5A5A"/>
          <w:sz w:val="21"/>
          <w:szCs w:val="21"/>
        </w:rPr>
        <w:t xml:space="preserve">Caveat now stated up front: real PHEME threads rarely reach 50 nodes, so the scale-check topologies come from a cascade generator in either mode. The scale check therefore tests scale-dependence of the mechanism, not of PHEME-shaped cascades specifically.</w:t>
      </w:r>
    </w:p>
    <w:p>
      <w:pPr>
        <w:pStyle w:val="Heading2"/>
        <w:spacing w:after="120" w:before="280"/>
      </w:pPr>
      <w:r>
        <w:rPr>
          <w:rFonts w:ascii="Calibri" w:cs="Calibri" w:eastAsia="Calibri" w:hAnsi="Calibri"/>
          <w:b/>
          <w:bCs/>
          <w:color w:val="1F4E79"/>
          <w:sz w:val="26"/>
          <w:szCs w:val="26"/>
        </w:rPr>
        <w:t xml:space="preserve">5.9 Monte Carlo protocol</w:t>
      </w:r>
    </w:p>
    <w:p>
      <w:pPr>
        <w:spacing w:after="140" w:line="276"/>
      </w:pPr>
      <w:r>
        <w:t xml:space="preserve">One episode = 1 claim × 1 topology × 1 condition × 1 seed. Claims and topologies randomised across episodes; conditions assigned by grid. Claims stratified by LIAR severity (pants-fire / false / barely-true) and topic; placebo claims matched on topic and length. Decoding fixed across conditions (citizens 0.7, judges 0.2); all seeds pinned; every episode written as JSONL and aggregated into versioned Parquet. Payoff accounting is unit-tested against hand-computed episodes before any grid run — a silent ledger bug would invalidate every primary outcome.</w:t>
      </w:r>
    </w:p>
    <w:p>
      <w:pPr>
        <w:spacing w:after="140" w:line="276"/>
      </w:pPr>
      <w:r>
        <w:rPr>
          <w:rFonts w:ascii="Calibri" w:cs="Calibri" w:eastAsia="Calibri" w:hAnsi="Calibri"/>
          <w:b/>
          <w:bCs/>
          <w:color w:val="1A1A1A"/>
          <w:sz w:val="21"/>
          <w:szCs w:val="21"/>
        </w:rPr>
        <w:t xml:space="preserve">v2.1 replaces the flat 30-seeds-everywhere protocol with a two-tier design.</w:t>
      </w:r>
      <w:r>
        <w:rPr>
          <w:rFonts w:ascii="Calibri" w:cs="Calibri" w:eastAsia="Calibri" w:hAnsi="Calibri"/>
          <w:color w:val="1A1A1A"/>
          <w:sz w:val="21"/>
          <w:szCs w:val="21"/>
        </w:rPr>
        <w:t xml:space="preserve"> The core grid stays at 30 seeds because that is enough for the contrasts it is there to serve — intervention versus control, and the cross-model comparison of H5. A focused arm at 150 seeds covers the two contrasts the core grid cannot power. Spending uniformly would have cost five times as much to buy power where it was already sufficient.</w:t>
      </w:r>
    </w:p>
    <w:p>
      <w:pPr>
        <w:spacing w:after="140" w:line="276"/>
      </w:pPr>
      <w:r>
        <w:rPr>
          <w:rFonts w:ascii="Calibri" w:cs="Calibri" w:eastAsia="Calibri" w:hAnsi="Calibri"/>
          <w:b/>
          <w:bCs/>
          <w:color w:val="1A1A1A"/>
          <w:sz w:val="21"/>
          <w:szCs w:val="21"/>
        </w:rPr>
        <w:t xml:space="preserve">v2.4 replaces the focused arm with a measured power statement.</w:t>
      </w:r>
      <w:r>
        <w:rPr>
          <w:rFonts w:ascii="Calibri" w:cs="Calibri" w:eastAsia="Calibri" w:hAnsi="Calibri"/>
          <w:color w:val="1A1A1A"/>
          <w:sz w:val="21"/>
          <w:szCs w:val="21"/>
        </w:rPr>
        <w:t xml:space="preserve"> The v2.1 focused arm allocated 150 seeds to the tone contrast on the strength of a pilot estimate of 259 seeds per cell. Measured on the full grid with reproducible seeds, that contrast needs 572 seeds per cell for 80% power — so the focused arm as specified would have been under-powered by a factor of four while costing five times the core grid. The protocol below runs what the core grid powers, declares the rest exploratory before the grid runs, and carries one high-power rerun in the budget for the contrasts worth buying outright.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3024"/>
        <w:gridCol w:w="1109"/>
        <w:gridCol w:w="1109"/>
        <w:gridCol w:w="1310"/>
        <w:gridCol w:w="3528"/>
      </w:tblGrid>
      <w:tr>
        <w:trPr>
          <w:tblHeader/>
        </w:trPr>
        <w:tc>
          <w:tcPr>
            <w:tcW w:type="dxa" w:w="302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Arm</w:t>
            </w:r>
          </w:p>
        </w:tc>
        <w:tc>
          <w:tcPr>
            <w:tcW w:type="dxa" w:w="110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Cells</w:t>
            </w:r>
          </w:p>
        </w:tc>
        <w:tc>
          <w:tcPr>
            <w:tcW w:type="dxa" w:w="110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Seeds</w:t>
            </w:r>
          </w:p>
        </w:tc>
        <w:tc>
          <w:tcPr>
            <w:tcW w:type="dxa" w:w="13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Episodes</w:t>
            </w:r>
          </w:p>
        </w:tc>
        <w:tc>
          <w:tcPr>
            <w:tcW w:type="dxa" w:w="352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What it powers</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Core grid (2×2×4 + 4 controls)</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600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Intervention vs control on FPR and EPC (d ≈ 0.80 and 0.71, needing 22 and 30); H5 model dependence; all descriptive cell means</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Placebo arm (specificity)</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RQ5, pooled and conditional on the intervener having fired</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1 — payoff visibility</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Whether the game structure drives behaviour at all</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2 — incentive ratio β/γ ∈ {0.5, 1, 3}</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180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Platform-design sensitivity</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Scale check (N = 50)</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w:t>
            </w:r>
          </w:p>
        </w:tc>
        <w:tc>
          <w:tcPr>
            <w:tcW w:type="dxa" w:w="110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Direction agreement between N = 7 and N = 50</w:t>
            </w:r>
          </w:p>
        </w:tc>
      </w:tr>
      <w:tr>
        <w:trPr>
          <w:tblHeader w:val="false"/>
        </w:trPr>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Perturbation arm (new in v2.4)</w:t>
            </w:r>
          </w:p>
        </w:tc>
        <w:tc>
          <w:tcPr>
            <w:tcW w:type="dxa" w:w="110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40</w:t>
            </w:r>
          </w:p>
        </w:tc>
        <w:tc>
          <w:tcPr>
            <w:tcW w:type="dxa" w:w="110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8</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320</w:t>
            </w:r>
          </w:p>
        </w:tc>
        <w:tc>
          <w:tcPr>
            <w:tcW w:type="dxa" w:w="352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Norm robustness: one citizen defects at the half-way round, either amplifying the claim or refusing to pay the correction cost. Follows GovSim §3.3.</w:t>
            </w:r>
          </w:p>
        </w:tc>
      </w:tr>
      <w:tr>
        <w:trPr>
          <w:tblHeader w:val="false"/>
        </w:trPr>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Mixed-society arm (new in v2.6)</w:t>
            </w:r>
          </w:p>
        </w:tc>
        <w:tc>
          <w:tcPr>
            <w:tcW w:type="dxa" w:w="110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t>
            </w:r>
          </w:p>
        </w:tc>
        <w:tc>
          <w:tcPr>
            <w:tcW w:type="dxa" w:w="110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150 replications, seats rotated</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150</w:t>
            </w:r>
          </w:p>
        </w:tc>
        <w:tc>
          <w:tcPr>
            <w:tcW w:type="dxa" w:w="352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H6 / RQ6: whole roster seated in one episode, seat assignment rotated by replication so every model holds every seat equally often. Same call count as a monoculture episode — cost-neutral. See §5.11.</w:t>
            </w:r>
          </w:p>
        </w:tc>
      </w:tr>
      <w:tr>
        <w:trPr>
          <w:tblHeader w:val="false"/>
        </w:trPr>
        <w:tc>
          <w:tcPr>
            <w:tcW w:type="dxa" w:w="3024"/>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Total</w:t>
            </w:r>
          </w:p>
        </w:tc>
        <w:tc>
          <w:tcPr>
            <w:tcW w:type="dxa" w:w="1109"/>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t>
            </w:r>
          </w:p>
        </w:tc>
        <w:tc>
          <w:tcPr>
            <w:tcW w:type="dxa" w:w="1109"/>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t>
            </w:r>
          </w:p>
        </w:tc>
        <w:tc>
          <w:tcPr>
            <w:tcW w:type="dxa" w:w="1310"/>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1,550</w:t>
            </w:r>
          </w:p>
        </w:tc>
        <w:tc>
          <w:tcPr>
            <w:tcW w:type="dxa" w:w="3528"/>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The grid the reference implementation actually runs</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EAF1F8" w:color="auto" w:val="clear"/>
            <w:tcMar>
              <w:top w:type="dxa" w:w="70"/>
              <w:left w:type="dxa" w:w="110"/>
              <w:bottom w:type="dxa" w:w="70"/>
              <w:right w:type="dxa" w:w="110"/>
            </w:tcMar>
          </w:tcPr>
          <w:p>
            <w:pPr>
              <w:spacing w:after="60" w:line="260"/>
            </w:pPr>
            <w:r>
              <w:rPr>
                <w:rFonts w:ascii="Calibri" w:cs="Calibri" w:eastAsia="Calibri" w:hAnsi="Calibri"/>
                <w:b/>
                <w:bCs/>
                <w:color w:val="1F4E79"/>
                <w:sz w:val="20"/>
                <w:szCs w:val="20"/>
              </w:rPr>
              <w:t xml:space="preserve">v2.4 — the budget, measured rather than estimated</w:t>
            </w:r>
          </w:p>
          <w:p>
            <w:pPr>
              <w:spacing w:after="60" w:line="260"/>
            </w:pPr>
            <w:r>
              <w:rPr>
                <w:rFonts w:ascii="Calibri" w:cs="Calibri" w:eastAsia="Calibri" w:hAnsi="Calibri"/>
                <w:color w:val="1A1A1A"/>
                <w:sz w:val="20"/>
                <w:szCs w:val="20"/>
              </w:rPr>
              <w:t xml:space="preserve">v2.3 quoted US$1,100–2,200 for the grid from an agent-call count and a price per call, and named response caching as the largest lever available. Both were guesses, and one of them was wrong. The framework now meters the prompts the episode loop actually assembles and prices them against the published rate card; the command is reproducible (nudgesim cost) and the numbers below come from it.</w:t>
            </w:r>
          </w:p>
          <w:p>
            <w:pPr>
              <w:spacing w:after="60" w:line="260"/>
            </w:pPr>
            <w:r>
              <w:rPr>
                <w:rFonts w:ascii="Calibri" w:cs="Calibri" w:eastAsia="Calibri" w:hAnsi="Calibri"/>
                <w:b/>
                <w:bCs/>
                <w:color w:val="1A1A1A"/>
                <w:sz w:val="21"/>
                <w:szCs w:val="21"/>
              </w:rPr>
              <w:t xml:space="preserve">What a call costs. </w:t>
            </w:r>
            <w:r>
              <w:rPr>
                <w:rFonts w:ascii="Calibri" w:cs="Calibri" w:eastAsia="Calibri" w:hAnsi="Calibri"/>
                <w:color w:val="1A1A1A"/>
                <w:sz w:val="21"/>
                <w:szCs w:val="21"/>
              </w:rPr>
              <w:t xml:space="preserve">60 model calls an episode — five citizens over twelve rounds; the disseminator and the intervener run on fixed policies and cost nothing. 620 input tokens per call on average, 874 at the longest. 23,250 calls per model over the 1,550-episode grid (1,400 before the mixed-society arm, §5.11), because factor F3 gives each model its own replications of every cell: the grid grows linearly in models benchmarked, and that, not prompt length, is what a multi-model design costs.</w:t>
            </w:r>
          </w:p>
          <w:p>
            <w:pPr>
              <w:spacing w:after="60" w:line="260"/>
            </w:pPr>
            <w:r>
              <w:rPr>
                <w:rFonts w:ascii="Calibri" w:cs="Calibri" w:eastAsia="Calibri" w:hAnsi="Calibri"/>
                <w:b/>
                <w:bCs/>
                <w:color w:val="1A1A1A"/>
                <w:sz w:val="21"/>
                <w:szCs w:val="21"/>
              </w:rPr>
              <w:t xml:space="preserve">The lever that does not exist. </w:t>
            </w:r>
            <w:r>
              <w:rPr>
                <w:rFonts w:ascii="Calibri" w:cs="Calibri" w:eastAsia="Calibri" w:hAnsi="Calibri"/>
                <w:color w:val="1A1A1A"/>
                <w:sz w:val="21"/>
                <w:szCs w:val="21"/>
              </w:rPr>
              <w:t xml:space="preserve">Across 3,600 metered calls not one prompt recurred. Every prompt carries a distinct claim, a distinct agent and a distinct feed history, so a response cache never serves a request. Half of each prompt (50.6%) is the persona prefix, which is identical across an agent's twelve turns — prompt caching is the real lever, worth roughly 30% of input spend, and batch endpoints halve both directions.</w:t>
            </w:r>
          </w:p>
          <w:p>
            <w:pPr>
              <w:spacing w:after="60" w:line="260"/>
            </w:pPr>
            <w:r>
              <w:rPr>
                <w:rFonts w:ascii="Calibri" w:cs="Calibri" w:eastAsia="Calibri" w:hAnsi="Calibri"/>
                <w:b/>
                <w:bCs/>
                <w:color w:val="1A1A1A"/>
                <w:sz w:val="21"/>
                <w:szCs w:val="21"/>
              </w:rPr>
              <w:t xml:space="preserve">Where the money actually goes. </w:t>
            </w:r>
            <w:r>
              <w:rPr>
                <w:rFonts w:ascii="Calibri" w:cs="Calibri" w:eastAsia="Calibri" w:hAnsi="Calibri"/>
                <w:color w:val="1A1A1A"/>
                <w:sz w:val="21"/>
                <w:szCs w:val="21"/>
              </w:rPr>
              <w:t xml:space="preserve">Reasoning tokens bill as output. One frontier arm with extended thinking at 2,000 reasoning tokens a call costs US$1,151 a grid against US$101 without it — and the reasoning contrast is the one most worth running here (§7). Scheduling that arm to run in the main grid and once more at high power, rather than in every calibration, validation and bug-fix rerun, takes the programme from US$16,038 to US$1,866. That single scheduling decision is worth more than every caching lever combined.</w:t>
            </w:r>
          </w:p>
          <w:p>
            <w:pPr>
              <w:spacing w:after="60" w:line="260"/>
            </w:pPr>
            <w:r>
              <w:rPr>
                <w:rFonts w:ascii="Calibri" w:cs="Calibri" w:eastAsia="Calibri" w:hAnsi="Calibri"/>
                <w:color w:val="1A1A1A"/>
                <w:sz w:val="20"/>
                <w:szCs w:val="20"/>
              </w:rPr>
              <w:t xml:space="preserve">Programme total for the recommended four-arm portfolio: approximately US$1,900, self-funded, requiring no lab funding. An all-frontier portfolio with thinking everywhere would be roughly US$29,000, which is why it is not the plan.</w:t>
            </w:r>
          </w:p>
        </w:tc>
      </w:tr>
    </w:tbl>
    <w:p>
      <w:pPr>
        <w:pStyle w:val="Heading2"/>
        <w:spacing w:after="120" w:before="280"/>
      </w:pPr>
      <w:r>
        <w:rPr>
          <w:rFonts w:ascii="Calibri" w:cs="Calibri" w:eastAsia="Calibri" w:hAnsi="Calibri"/>
          <w:b/>
          <w:bCs/>
          <w:color w:val="1F4E79"/>
          <w:sz w:val="26"/>
          <w:szCs w:val="26"/>
        </w:rPr>
        <w:t xml:space="preserve">5.10 Whether citizens talk, and through which channel</w:t>
      </w:r>
    </w:p>
    <w:p>
      <w:pPr>
        <w:spacing w:after="140" w:line="276"/>
      </w:pPr>
      <w:r>
        <w:t xml:space="preserve">This was never decided in v2.3, and it is not a detail. The two designs this work follows answer it in opposite directions, and each answer determines what the study can identify.</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218"/>
        <w:gridCol w:w="3931"/>
        <w:gridCol w:w="3931"/>
      </w:tblGrid>
      <w:tr>
        <w:trPr>
          <w:tblHeader/>
        </w:trPr>
        <w:tc>
          <w:tcPr>
            <w:tcW w:type="dxa" w:w="221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
            </w:r>
          </w:p>
        </w:tc>
        <w:tc>
          <w:tcPr>
            <w:tcW w:type="dxa" w:w="393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SanctSim</w:t>
            </w:r>
          </w:p>
        </w:tc>
        <w:tc>
          <w:tcPr>
            <w:tcW w:type="dxa" w:w="393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GovSim</w:t>
            </w:r>
          </w:p>
        </w:tc>
      </w:tr>
      <w:tr>
        <w:trPr>
          <w:tblHeader w:val="false"/>
        </w:trPr>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Channel</w:t>
            </w:r>
          </w:p>
        </w:tc>
        <w:tc>
          <w:tcPr>
            <w:tcW w:type="dxa" w:w="393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None. Agents interact solely through their game decisions.</w:t>
            </w:r>
          </w:p>
        </w:tc>
        <w:tc>
          <w:tcPr>
            <w:tcW w:type="dxa" w:w="393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Free-form group chat before each decision round.</w:t>
            </w:r>
          </w:p>
        </w:tc>
      </w:tr>
      <w:tr>
        <w:trPr>
          <w:tblHeader w:val="false"/>
        </w:trPr>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Consequence</w:t>
            </w:r>
          </w:p>
        </w:tc>
        <w:tc>
          <w:tcPr>
            <w:tcW w:type="dxa" w:w="393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Every behavioural difference is attributable to the payoff structure, because nothing else passes between agents.</w:t>
            </w:r>
          </w:p>
        </w:tc>
        <w:tc>
          <w:tcPr>
            <w:tcW w:type="dxa" w:w="393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Communication is the largest single lever in the paper: negotiation is 62% of dialogue, and removing the chat raises resource over-use by 21 points.</w:t>
            </w:r>
          </w:p>
        </w:tc>
      </w:tr>
    </w:tbl>
    <w:p>
      <w:pPr>
        <w:spacing w:after="140" w:line="276"/>
      </w:pPr>
      <w:r>
        <w:rPr>
          <w:rFonts w:ascii="Calibri" w:cs="Calibri" w:eastAsia="Calibri" w:hAnsi="Calibri"/>
          <w:b/>
          <w:bCs/>
          <w:color w:val="1A1A1A"/>
          <w:sz w:val="21"/>
          <w:szCs w:val="21"/>
        </w:rPr>
        <w:t xml:space="preserve">The decision for NudgeSim is to split the two by channel. </w:t>
      </w:r>
      <w:r>
        <w:rPr>
          <w:rFonts w:ascii="Calibri" w:cs="Calibri" w:eastAsia="Calibri" w:hAnsi="Calibri"/>
          <w:color w:val="1A1A1A"/>
          <w:sz w:val="21"/>
          <w:szCs w:val="21"/>
        </w:rPr>
        <w:t xml:space="preserve">The decision channel is SanctSim-style: a citizen chooses from a fixed four-way action space, and nothing a citizen writes changes another citizen's payoff except through the action it accompanies. The payoff ledger is a function of actions alone, which is what keeps the identification clean. The observable channel is GovSim-style: each action carries the agent's own words, and those words are what neighbours see.</w:t>
      </w:r>
    </w:p>
    <w:p>
      <w:pPr>
        <w:spacing w:after="140" w:line="276"/>
      </w:pPr>
      <w:r>
        <w:rPr>
          <w:rFonts w:ascii="Calibri" w:cs="Calibri" w:eastAsia="Calibri" w:hAnsi="Calibri"/>
          <w:b/>
          <w:bCs/>
          <w:color w:val="1A1A1A"/>
          <w:sz w:val="21"/>
          <w:szCs w:val="21"/>
        </w:rPr>
        <w:t xml:space="preserve">The second half is forced by the subject matter rather than chosen. </w:t>
      </w:r>
      <w:r>
        <w:rPr>
          <w:rFonts w:ascii="Calibri" w:cs="Calibri" w:eastAsia="Calibri" w:hAnsi="Calibri"/>
          <w:color w:val="1A1A1A"/>
          <w:sz w:val="21"/>
          <w:szCs w:val="21"/>
        </w:rPr>
        <w:t xml:space="preserve">Intervention tone is a manipulated factor, and tone has no carrier other than natural language. A design without an observable language channel deletes factor F2, and with it H3 — the headline hypothesis. There is no version of this study that runs on decisions alone.</w:t>
      </w:r>
    </w:p>
    <w:p>
      <w:pPr>
        <w:spacing w:after="140" w:line="276"/>
      </w:pPr>
      <w:r>
        <w:rPr>
          <w:rFonts w:ascii="Calibri" w:cs="Calibri" w:eastAsia="Calibri" w:hAnsi="Calibri"/>
          <w:b/>
          <w:bCs/>
          <w:color w:val="1A1A1A"/>
          <w:sz w:val="21"/>
          <w:szCs w:val="21"/>
        </w:rPr>
        <w:t xml:space="preserve">What the split buys. </w:t>
      </w:r>
      <w:r>
        <w:rPr>
          <w:rFonts w:ascii="Calibri" w:cs="Calibri" w:eastAsia="Calibri" w:hAnsi="Calibri"/>
          <w:color w:val="1A1A1A"/>
          <w:sz w:val="21"/>
          <w:szCs w:val="21"/>
        </w:rPr>
        <w:t xml:space="preserve">Because language rides on each action rather than flowing in a free group chat, every utterance is attached to the decision it justified and to the payoff that decision incurred. That is what makes the reasoning-trace taxonomy (§5.6) and the reactance measure well-defined per decision rather than per conversation.</w:t>
      </w:r>
    </w:p>
    <w:p>
      <w:pPr>
        <w:spacing w:after="140" w:line="276"/>
      </w:pPr>
      <w:r>
        <w:rPr>
          <w:rFonts w:ascii="Calibri" w:cs="Calibri" w:eastAsia="Calibri" w:hAnsi="Calibri"/>
          <w:b/>
          <w:bCs/>
          <w:color w:val="1A1A1A"/>
          <w:sz w:val="21"/>
          <w:szCs w:val="21"/>
        </w:rPr>
        <w:t xml:space="preserve">What it costs, stated as a limit. </w:t>
      </w:r>
      <w:r>
        <w:rPr>
          <w:rFonts w:ascii="Calibri" w:cs="Calibri" w:eastAsia="Calibri" w:hAnsi="Calibri"/>
          <w:color w:val="1A1A1A"/>
          <w:sz w:val="21"/>
          <w:szCs w:val="21"/>
        </w:rPr>
        <w:t xml:space="preserve">NudgeSim cannot observe negotiation or coalition formation, which is GovSim's most interesting result. Copying GovSim's group chat outright would make the intervener's tone one voice among many and let citizens coordinate a joint response to it — so the tone contrast would then estimate "aggressive tone, plus whatever the group negotiated in response to it", which is not the estimand. The deliberation channel belongs in the follow-on design (§13), where citizens vote on whether a corrector should exist at all; there, coordination is the object of study rather than a confound.</w:t>
      </w:r>
    </w:p>
    <w:p>
      <w:pPr>
        <w:pStyle w:val="Heading2"/>
        <w:spacing w:after="120" w:before="280"/>
      </w:pPr>
      <w:r>
        <w:rPr>
          <w:rFonts w:ascii="Calibri" w:cs="Calibri" w:eastAsia="Calibri" w:hAnsi="Calibri"/>
          <w:b/>
          <w:bCs/>
          <w:color w:val="1F4E79"/>
          <w:sz w:val="26"/>
          <w:szCs w:val="26"/>
        </w:rPr>
        <w:t xml:space="preserve">5.11 Mixed-society arm (monoculture confound, new in v2.6)</w:t>
      </w:r>
    </w:p>
    <w:p>
      <w:pPr>
        <w:spacing w:after="140" w:line="276"/>
      </w:pPr>
      <w:r>
        <w:t xml:space="preserve">Every study in this line that varies the backbone runs monocultures: one model per simulation, varied between simulations. That design answers whether model choice moves the aggregate. It cannot answer whether one model free-rides on another's contribution, because in a society of identical agents there is no other model to free-ride on. Two of the four reference studies already add a heterogeneous experiment as a headline question rather than an appendix — MoralSim pairs each model against every other in an opponent matrix, and CoopEval runs replicator dynamics over an initially uniform mixture.</w:t>
      </w:r>
    </w:p>
    <w:p>
      <w:pPr>
        <w:spacing w:after="140" w:line="276"/>
      </w:pPr>
      <w:r>
        <w:t xml:space="preserve">The mechanisms NudgeSim measures make this unavoidable rather than merely desirable. Conformity to a local majority, and declining to pay a cost somebody else is already paying, are both claims about what one agent does in response to another. Under a monoculture those two agents are near copies, so the design cannot separate "this model corrects" from "this model corrects when surrounded by itself".</w:t>
      </w:r>
    </w:p>
    <w:p>
      <w:pPr>
        <w:spacing w:after="140" w:line="276"/>
      </w:pPr>
      <w:r>
        <w:rPr>
          <w:rFonts w:ascii="Calibri" w:cs="Calibri" w:eastAsia="Calibri" w:hAnsi="Calibri"/>
          <w:b/>
          <w:bCs/>
          <w:color w:val="1A1A1A"/>
          <w:sz w:val="21"/>
          <w:szCs w:val="21"/>
        </w:rPr>
        <w:t xml:space="preserve">The fix. </w:t>
      </w:r>
      <w:r>
        <w:rPr>
          <w:rFonts w:ascii="Calibri" w:cs="Calibri" w:eastAsia="Calibri" w:hAnsi="Calibri"/>
          <w:color w:val="1A1A1A"/>
          <w:sz w:val="21"/>
          <w:szCs w:val="21"/>
        </w:rPr>
        <w:t xml:space="preserve">The mixed arm seats the whole roster in one society. Which model holds which seat rotates by replication, so every model occupies every seat equally often — enforced by a test, not left to chance — because seats differ in network position and a fixed assignment would confound model with position permanently: whatever sat in the best-connected seat would read as a property of that model. Two contrasts follow that are not available from the core (monoculture) grid: what each model does inside the same episode with claim, topology and intervention held exactly fixed; and the same model's correction rate among other models against its rate among copies of itself.</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EAF1F8" w:color="auto" w:val="clear"/>
            <w:tcMar>
              <w:top w:type="dxa" w:w="70"/>
              <w:left w:type="dxa" w:w="110"/>
              <w:bottom w:type="dxa" w:w="70"/>
              <w:right w:type="dxa" w:w="110"/>
            </w:tcMar>
          </w:tcPr>
          <w:p>
            <w:pPr>
              <w:spacing w:after="60" w:line="260"/>
            </w:pPr>
            <w:r>
              <w:rPr>
                <w:rFonts w:ascii="Calibri" w:cs="Calibri" w:eastAsia="Calibri" w:hAnsi="Calibri"/>
                <w:b/>
                <w:bCs/>
                <w:color w:val="1F4E79"/>
                <w:sz w:val="20"/>
                <w:szCs w:val="20"/>
              </w:rPr>
              <w:t xml:space="preserve">v2.6 — what the mixed arm already shows, against real LIAR and PHEME-9</w:t>
            </w:r>
          </w:p>
          <w:p>
            <w:pPr>
              <w:spacing w:after="60" w:line="260"/>
            </w:pPr>
            <w:r>
              <w:rPr>
                <w:rFonts w:ascii="Calibri" w:cs="Calibri" w:eastAsia="Calibri" w:hAnsi="Calibri"/>
                <w:color w:val="1A1A1A"/>
                <w:sz w:val="20"/>
                <w:szCs w:val="20"/>
              </w:rPr>
              <w:t xml:space="preserve">Backbone effects survive perfect control. H5 measured within an episode rather than between: nothing differs between seated policies except which policy sits in the seat — not the claim, not the topology, not the intervention, not the seed — and the correction rate still spans a factor of 5.4 (EPC 0.023 to 0.121). A between-episode comparison cannot rule out that part of such a gap is claim or topology draw; this one can.</w:t>
            </w:r>
          </w:p>
          <w:p>
            <w:pPr>
              <w:spacing w:after="60" w:line="260"/>
            </w:pPr>
            <w:r>
              <w:rPr>
                <w:rFonts w:ascii="Calibri" w:cs="Calibri" w:eastAsia="Calibri" w:hAnsi="Calibri"/>
                <w:color w:val="1A1A1A"/>
                <w:sz w:val="20"/>
                <w:szCs w:val="20"/>
              </w:rPr>
              <w:t xml:space="preserve">Whether effort depends on who the neighbours are: a null, so far. On the surrogate, no policy's correction rate detectably depends on whether its neighbours are copies of itself — the largest gap is −0.034 [−0.061, −0.006], and nothing survives Holm correction. This is reported because it is informative about the surrogate rather than a disappointment: an analytic policy responds to the count of visible correction, not to who is doing it, so there is no channel by which a neighbour's identity could matter. That is precisely the assumption a language model need not satisfy, which is why this arm is worth running on real backbones.</w:t>
            </w:r>
          </w:p>
          <w:p>
            <w:pPr>
              <w:spacing w:after="60" w:line="260"/>
            </w:pPr>
            <w:r>
              <w:rPr>
                <w:rFonts w:ascii="Calibri" w:cs="Calibri" w:eastAsia="Calibri" w:hAnsi="Calibri"/>
                <w:color w:val="1A1A1A"/>
                <w:sz w:val="20"/>
                <w:szCs w:val="20"/>
              </w:rPr>
              <w:t xml:space="preserve">Cost. Zero additional spend. A mixed episode issues the same number of model calls as a monoculture episode — five citizens over twelve rounds either way — only the calls are split across backbones instead of going to one. The 150 replications above are already inside the 1,550-episode total, not an addition to the budget in §12.</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6. Data Resources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814"/>
        <w:gridCol w:w="3629"/>
        <w:gridCol w:w="2822"/>
        <w:gridCol w:w="1814"/>
      </w:tblGrid>
      <w:tr>
        <w:trPr>
          <w:tblHeader/>
        </w:trPr>
        <w:tc>
          <w:tcPr>
            <w:tcW w:type="dxa" w:w="181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Resource</w:t>
            </w:r>
          </w:p>
        </w:tc>
        <w:tc>
          <w:tcPr>
            <w:tcW w:type="dxa" w:w="362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Role in study</w:t>
            </w:r>
          </w:p>
        </w:tc>
        <w:tc>
          <w:tcPr>
            <w:tcW w:type="dxa" w:w="2822"/>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Key properties</w:t>
            </w:r>
          </w:p>
        </w:tc>
        <w:tc>
          <w:tcPr>
            <w:tcW w:type="dxa" w:w="181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Access</w:t>
            </w:r>
          </w:p>
        </w:tc>
      </w:tr>
      <w:tr>
        <w:trPr>
          <w:tblHeader w:val="false"/>
        </w:trPr>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LIAR (Wang, 2017)</w:t>
            </w:r>
          </w:p>
        </w:tc>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Claim pool: false-side statements as injected misinformation; matched true statements as placebo controls.</w:t>
            </w:r>
          </w:p>
        </w:tc>
        <w:tc>
          <w:tcPr>
            <w:tcW w:type="dxa" w:w="282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12.8K short PolitiFact statements, six-way veracity labels, speaker and context metadata.</w:t>
            </w:r>
          </w:p>
        </w:tc>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Loaded from the original UCSB archive; the Hugging Face loading script is deprecated.</w:t>
            </w:r>
          </w:p>
        </w:tc>
      </w:tr>
      <w:tr>
        <w:trPr>
          <w:tblHeader w:val="false"/>
        </w:trPr>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PHEME-9 (Kochkina, Liakata &amp; Zubiaga, 2018)</w:t>
            </w:r>
          </w:p>
        </w:tc>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Topology source and calibration target: reply trees initialise adjacency; cascade statistics validate the control baseline.</w:t>
            </w:r>
          </w:p>
        </w:tc>
        <w:tc>
          <w:tcPr>
            <w:tcW w:type="dxa" w:w="282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Twitter rumour threads across nine breaking-news events; per-thread reply trees and veracity annotations.</w:t>
            </w:r>
          </w:p>
        </w:tc>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figshare DOI 10.6084/m9.figshare.6392078; annotations CC-BY.</w:t>
            </w:r>
          </w:p>
        </w:tc>
      </w:tr>
    </w:tbl>
    <w:p>
      <w:pPr>
        <w:spacing w:after="140" w:line="276"/>
      </w:pPr>
      <w:r>
        <w:rPr>
          <w:rFonts w:ascii="Calibri" w:cs="Calibri" w:eastAsia="Calibri" w:hAnsi="Calibri"/>
          <w:b/>
          <w:bCs/>
          <w:color w:val="1A1A1A"/>
          <w:sz w:val="21"/>
          <w:szCs w:val="21"/>
        </w:rPr>
        <w:t xml:space="preserve">Preprocessing safeguards. </w:t>
      </w:r>
      <w:r>
        <w:rPr>
          <w:rFonts w:ascii="Calibri" w:cs="Calibri" w:eastAsia="Calibri" w:hAnsi="Calibri"/>
          <w:color w:val="1A1A1A"/>
          <w:sz w:val="21"/>
          <w:szCs w:val="21"/>
        </w:rPr>
        <w:t xml:space="preserve">Real speaker names in LIAR statements are replaced with generic attributions in all agent-visible text, so the simulation never generates novel false associations about identifiable individuals. From PHEME we redistribute derived topology statistics only, never tweet content. No new human data is collected; the human coding in §5.6 is performed by the research team on model-generated text.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de-identification is harder than it looks, and is now a tested property</w:t>
            </w:r>
          </w:p>
          <w:p>
            <w:pPr>
              <w:spacing w:after="60" w:line="260"/>
            </w:pPr>
            <w:r>
              <w:rPr>
                <w:rFonts w:ascii="Calibri" w:cs="Calibri" w:eastAsia="Calibri" w:hAnsi="Calibri"/>
                <w:color w:val="1A1A1A"/>
                <w:sz w:val="20"/>
                <w:szCs w:val="20"/>
              </w:rPr>
              <w:t xml:space="preserve">Replacing names from LIAR's speaker column is not sufficient: it removes the person who made each statement, but statements overwhelmingly refer to other public figures, and those survive. Measured leakage on that approach is 5.8% of statements.</w:t>
            </w:r>
          </w:p>
          <w:p>
            <w:pPr>
              <w:spacing w:after="60" w:line="260"/>
            </w:pPr>
            <w:r>
              <w:rPr>
                <w:rFonts w:ascii="Calibri" w:cs="Calibri" w:eastAsia="Calibri" w:hAnsi="Calibri"/>
                <w:color w:val="1A1A1A"/>
                <w:sz w:val="20"/>
                <w:szCs w:val="20"/>
              </w:rPr>
              <w:t xml:space="preserve">Adding a surname pass drives leakage to zero but over-corrects badly, because roughly a third of LIAR's speaker column is organisations, PACs and newspapers rather than people — taking their last token as a surname turns "the big Wall Street banks" into three stacked generic attributions and destroys the claim. Filtering organisation-shaped speakers gives 0.00% residual leakage at 11% of tokens replaced, with ordinary noun phrases intact.</w:t>
            </w:r>
          </w:p>
          <w:p>
            <w:pPr>
              <w:spacing w:after="60" w:line="260"/>
            </w:pPr>
            <w:r>
              <w:rPr>
                <w:rFonts w:ascii="Calibri" w:cs="Calibri" w:eastAsia="Calibri" w:hAnsi="Calibri"/>
                <w:color w:val="1A1A1A"/>
                <w:sz w:val="20"/>
                <w:szCs w:val="20"/>
              </w:rPr>
              <w:t xml:space="preserve">Both directions are now enforced by tests rather than left as an intention, because both failures are silent: the first leaks names into agent-visible text, the second feeds the agents nonsense and would degrade every behavioural measure without ever raising an error.</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7. Codebase and Technical Stack</w:t>
      </w:r>
    </w:p>
    <w:p>
      <w:pPr>
        <w:spacing w:after="140" w:line="276"/>
      </w:pPr>
      <w:r>
        <w:rPr>
          <w:rFonts w:ascii="Calibri" w:cs="Calibri" w:eastAsia="Calibri" w:hAnsi="Calibri"/>
          <w:b/>
          <w:bCs/>
          <w:color w:val="1A1A1A"/>
          <w:sz w:val="21"/>
          <w:szCs w:val="21"/>
        </w:rPr>
        <w:t xml:space="preserve">Primary engine. </w:t>
      </w:r>
      <w:r>
        <w:rPr>
          <w:rFonts w:ascii="Calibri" w:cs="Calibri" w:eastAsia="Calibri" w:hAnsi="Calibri"/>
          <w:color w:val="1A1A1A"/>
          <w:sz w:val="21"/>
          <w:szCs w:val="21"/>
        </w:rPr>
        <w:t xml:space="preserve">A purpose-built, lightweight asyncio orchestration loop. This is a change from an earlier plan to fork OASIS for the core experiment: OASIS is engineered for populations from hundreds to a million agents, and running it at N = 7 pays its integration overhead while using none of its strengths. The core study instead needs something OASIS does not provide out of the box — a payoff ledger with per-round accounting, cost debiting, and end-of-episode veracity resolution. Building that directly is both faster and easier to unit-test.</w:t>
      </w:r>
    </w:p>
    <w:p>
      <w:pPr>
        <w:spacing w:after="140" w:line="276"/>
      </w:pPr>
      <w:r>
        <w:t xml:space="preserve">OASIS is retained where it is actually the right tool: the N = 50 scale check (§5.8) runs on OASIS with an identical logging schema, so the two phases produce interoperable data. This is a deliberate right-tool-for-the-job split rather than a fallback.</w:t>
      </w:r>
    </w:p>
    <w:p>
      <w:pPr>
        <w:spacing w:after="140" w:line="276"/>
      </w:pPr>
      <w:r>
        <w:rPr>
          <w:rFonts w:ascii="Calibri" w:cs="Calibri" w:eastAsia="Calibri" w:hAnsi="Calibri"/>
          <w:b/>
          <w:bCs/>
          <w:color w:val="1A1A1A"/>
          <w:sz w:val="21"/>
          <w:szCs w:val="21"/>
        </w:rPr>
        <w:t xml:space="preserve">Models (named in v2.4, made cross-vendor in v2.5). </w:t>
      </w:r>
      <w:r>
        <w:rPr>
          <w:rFonts w:ascii="Calibri" w:cs="Calibri" w:eastAsia="Calibri" w:hAnsi="Calibri"/>
          <w:color w:val="1A1A1A"/>
          <w:sz w:val="21"/>
          <w:szCs w:val="21"/>
        </w:rPr>
        <w:t xml:space="preserve">v2.3 said "four cost-efficient families" and named none. v2.4 named four, all from one vendor — which would have made the H5 model-dependence result incomparable with the very papers this work is positioned against. Every study in that line benchmarks across vendors, and their rosters overlap.</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016"/>
        <w:gridCol w:w="806"/>
        <w:gridCol w:w="7258"/>
      </w:tblGrid>
      <w:tr>
        <w:trPr>
          <w:tblHeader/>
        </w:trPr>
        <w:tc>
          <w:tcPr>
            <w:tcW w:type="dxa" w:w="201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Study</w:t>
            </w:r>
          </w:p>
        </w:tc>
        <w:tc>
          <w:tcPr>
            <w:tcW w:type="dxa" w:w="80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w:t>
            </w:r>
          </w:p>
        </w:tc>
        <w:tc>
          <w:tcPr>
            <w:tcW w:type="dxa" w:w="725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Models</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GovSim (2024)</w:t>
            </w:r>
          </w:p>
        </w:tc>
        <w:tc>
          <w:tcPr>
            <w:tcW w:type="dxa" w:w="80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15</w:t>
            </w:r>
          </w:p>
        </w:tc>
        <w:tc>
          <w:tcPr>
            <w:tcW w:type="dxa" w:w="725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GPT-3.5, GPT-4, GPT-4-turbo, GPT-4o; Claude-3 Haiku / Sonnet / Opus; Llama-2 7B/13B/70B, Llama-3 8B/70B; Mistral-7B, Mixtral-8x7B; Qwen-72B/110B</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SanctSim (2025)</w:t>
            </w:r>
          </w:p>
        </w:tc>
        <w:tc>
          <w:tcPr>
            <w:tcW w:type="dxa" w:w="80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9</w:t>
            </w:r>
          </w:p>
        </w:tc>
        <w:tc>
          <w:tcPr>
            <w:tcW w:type="dxa" w:w="725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DeepSeek-V3, GPT-4o, GPT-4o-mini, Llama-3.3-70B; o1-mini, o1-preview, o3-mini (low / med / high)</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MoralSim (2025)</w:t>
            </w:r>
          </w:p>
        </w:tc>
        <w:tc>
          <w:tcPr>
            <w:tcW w:type="dxa" w:w="80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9</w:t>
            </w:r>
          </w:p>
        </w:tc>
        <w:tc>
          <w:tcPr>
            <w:tcW w:type="dxa" w:w="725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DeepSeek-R1, o3-mini, Qwen-3-235B-A22B; Claude-3.7-Sonnet, DeepSeek-V3, Gemini-2.5-Flash, GPT-4o-mini, GPT-4o, Llama-3.3-70B</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CoopEval (2026)</w:t>
            </w:r>
          </w:p>
        </w:tc>
        <w:tc>
          <w:tcPr>
            <w:tcW w:type="dxa" w:w="80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w:t>
            </w:r>
          </w:p>
        </w:tc>
        <w:tc>
          <w:tcPr>
            <w:tcW w:type="dxa" w:w="725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Claude Sonnet 4.5, GPT-5.2, Gemini 3 Flash (reasoning and base), GPT-4o, Qwen3-30B-A3B</w:t>
            </w:r>
          </w:p>
        </w:tc>
      </w:tr>
    </w:tbl>
    <w:p>
      <w:pPr>
        <w:spacing w:after="140" w:line="276"/>
      </w:pPr>
      <w:r>
        <w:rPr>
          <w:rFonts w:ascii="Calibri" w:cs="Calibri" w:eastAsia="Calibri" w:hAnsi="Calibri"/>
          <w:color w:val="1A1A1A"/>
          <w:sz w:val="21"/>
          <w:szCs w:val="21"/>
        </w:rPr>
        <w:t xml:space="preserve">GPT-4o is the only model in all four, which makes it the comparability anchor. Open-weights models appear in all four. Anthropic appears in three of the four. The roster below follows that shape.</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419"/>
        <w:gridCol w:w="1613"/>
        <w:gridCol w:w="6048"/>
      </w:tblGrid>
      <w:tr>
        <w:trPr>
          <w:tblHeader/>
        </w:trPr>
        <w:tc>
          <w:tcPr>
            <w:tcW w:type="dxa" w:w="241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F3 level</w:t>
            </w:r>
          </w:p>
        </w:tc>
        <w:tc>
          <w:tcPr>
            <w:tcW w:type="dxa" w:w="1613"/>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Vendor</w:t>
            </w:r>
          </w:p>
        </w:tc>
        <w:tc>
          <w:tcPr>
            <w:tcW w:type="dxa" w:w="604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Why this level is in the design</w:t>
            </w:r>
          </w:p>
        </w:tc>
      </w:tr>
      <w:tr>
        <w:trPr>
          <w:tblHeader w:val="false"/>
        </w:trPr>
        <w:tc>
          <w:tcPr>
            <w:tcW w:type="dxa" w:w="241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GPT-4o</w:t>
            </w:r>
          </w:p>
        </w:tc>
        <w:tc>
          <w:tcPr>
            <w:tcW w:type="dxa" w:w="1613"/>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OpenAI</w:t>
            </w:r>
          </w:p>
        </w:tc>
        <w:tc>
          <w:tcPr>
            <w:tcW w:type="dxa" w:w="604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anchor. Present in all four reference studies, so a model-dependence result here can be read directly against theirs. Non-reasoning.</w:t>
            </w:r>
          </w:p>
        </w:tc>
      </w:tr>
      <w:tr>
        <w:trPr>
          <w:tblHeader w:val="false"/>
        </w:trPr>
        <w:tc>
          <w:tcPr>
            <w:tcW w:type="dxa" w:w="241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current OpenAI reasoning model</w:t>
            </w:r>
          </w:p>
        </w:tc>
        <w:tc>
          <w:tcPr>
            <w:tcW w:type="dxa" w:w="1613"/>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OpenAI</w:t>
            </w:r>
          </w:p>
        </w:tc>
        <w:tc>
          <w:tcPr>
            <w:tcW w:type="dxa" w:w="604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reasoning contrast held within one vendor, which is the comparison SanctSim drew (o-series against the traditional four) and the one its headline rests on.</w:t>
            </w:r>
          </w:p>
        </w:tc>
      </w:tr>
      <w:tr>
        <w:trPr>
          <w:tblHeader w:val="false"/>
        </w:trPr>
        <w:tc>
          <w:tcPr>
            <w:tcW w:type="dxa" w:w="241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claude-opus-5, thinking off</w:t>
            </w:r>
          </w:p>
        </w:tc>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Anthropic</w:t>
            </w:r>
          </w:p>
        </w:tc>
        <w:tc>
          <w:tcPr>
            <w:tcW w:type="dxa" w:w="604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Frontier non-reasoning, and the paired control for the row below.</w:t>
            </w:r>
          </w:p>
        </w:tc>
      </w:tr>
      <w:tr>
        <w:trPr>
          <w:tblHeader w:val="false"/>
        </w:trPr>
        <w:tc>
          <w:tcPr>
            <w:tcW w:type="dxa" w:w="241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claude-opus-5, thinking on</w:t>
            </w:r>
          </w:p>
        </w:tc>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Anthropic</w:t>
            </w:r>
          </w:p>
        </w:tc>
        <w:tc>
          <w:tcPr>
            <w:tcW w:type="dxa" w:w="604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reasoning contrast held at fixed weights. CoopEval does this with Gemini 3 Flash; MoralSim notes Claude-3.7-Sonnet and Gemini-2.5-Flash offer both modes and takes the non-reasoning variant for cost. Running it on a frontier model is the extension, and §12 is why nobody had.</w:t>
            </w:r>
          </w:p>
        </w:tc>
      </w:tr>
      <w:tr>
        <w:trPr>
          <w:tblHeader w:val="false"/>
        </w:trPr>
        <w:tc>
          <w:tcPr>
            <w:tcW w:type="dxa" w:w="241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Llama-3.3-70B</w:t>
            </w:r>
          </w:p>
        </w:tc>
        <w:tc>
          <w:tcPr>
            <w:tcW w:type="dxa" w:w="1613"/>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Meta (open)</w:t>
            </w:r>
          </w:p>
        </w:tc>
        <w:tc>
          <w:tcPr>
            <w:tcW w:type="dxa" w:w="604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 SanctSim and MoralSim. Served locally through the same OpenAI-compatible interface, so it costs GPU time rather than tokens.</w:t>
            </w:r>
          </w:p>
        </w:tc>
      </w:tr>
      <w:tr>
        <w:trPr>
          <w:tblHeader w:val="false"/>
        </w:trPr>
        <w:tc>
          <w:tcPr>
            <w:tcW w:type="dxa" w:w="241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Qwen3-30B-A3B</w:t>
            </w:r>
          </w:p>
        </w:tc>
        <w:tc>
          <w:tcPr>
            <w:tcW w:type="dxa" w:w="1613"/>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Alibaba (open)</w:t>
            </w:r>
          </w:p>
        </w:tc>
        <w:tc>
          <w:tcPr>
            <w:tcW w:type="dxa" w:w="604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 CoopEval and (at 235B) MoralSim. The bottom of the capability ladder, and the arm that shows a result was not bought with spend — SanctSim's GPT-4o-mini out-contributed GPT-4o, so this is not a formality.</w:t>
            </w:r>
          </w:p>
        </w:tc>
      </w:tr>
    </w:tbl>
    <w:p>
      <w:pPr>
        <w:spacing w:after="140" w:line="276"/>
      </w:pPr>
      <w:r>
        <w:rPr>
          <w:rFonts w:ascii="Calibri" w:cs="Calibri" w:eastAsia="Calibri" w:hAnsi="Calibri"/>
          <w:b/>
          <w:bCs/>
          <w:color w:val="1A1A1A"/>
          <w:sz w:val="21"/>
          <w:szCs w:val="21"/>
        </w:rPr>
        <w:t xml:space="preserve">Six levels give 2,080 episodes. </w:t>
      </w:r>
      <w:r>
        <w:rPr>
          <w:rFonts w:ascii="Calibri" w:cs="Calibri" w:eastAsia="Calibri" w:hAnsi="Calibri"/>
          <w:color w:val="1A1A1A"/>
          <w:sz w:val="21"/>
          <w:szCs w:val="21"/>
        </w:rPr>
        <w:t xml:space="preserve">Each level is charged its own replications of every cell, so the marginal cost of one more model is fixed and vendor-independent: 13.1M input and 1.43M output tokens, or 43.4M output if that level runs with reasoning enabled. The budget in §12 prices the Anthropic levels; the other four rate cards move independently and should be priced at the time of the run rather than quoted here.</w:t>
      </w:r>
    </w:p>
    <w:p>
      <w:pPr>
        <w:spacing w:after="140" w:line="276"/>
      </w:pPr>
      <w:r>
        <w:rPr>
          <w:rFonts w:ascii="Calibri" w:cs="Calibri" w:eastAsia="Calibri" w:hAnsi="Calibri"/>
          <w:b/>
          <w:bCs/>
          <w:color w:val="1A1A1A"/>
          <w:sz w:val="21"/>
          <w:szCs w:val="21"/>
        </w:rPr>
        <w:t xml:space="preserve">What this needs that the reference implementation does not have. </w:t>
      </w:r>
      <w:r>
        <w:rPr>
          <w:rFonts w:ascii="Calibri" w:cs="Calibri" w:eastAsia="Calibri" w:hAnsi="Calibri"/>
          <w:color w:val="1A1A1A"/>
          <w:sz w:val="21"/>
          <w:szCs w:val="21"/>
        </w:rPr>
        <w:t xml:space="preserve">Credentials for OpenAI, and either a GPU to serve the two open-weights models or an inference host for them. No new code: every hosted model in the table above is reachable through the one OpenAI-compatible backend already in the engine, and open weights through the same interface pointed at a local vLLM server. This is an access dependency, not an engineering one, and it is the critical path for the whole benchmark.</w:t>
      </w:r>
    </w:p>
    <w:p>
      <w:pPr>
        <w:spacing w:after="140" w:line="276"/>
      </w:pPr>
      <w:r>
        <w:rPr>
          <w:rFonts w:ascii="Calibri" w:cs="Calibri" w:eastAsia="Calibri" w:hAnsi="Calibri"/>
          <w:b/>
          <w:bCs/>
          <w:color w:val="1A1A1A"/>
          <w:sz w:val="21"/>
          <w:szCs w:val="21"/>
        </w:rPr>
        <w:t xml:space="preserve">Judging. </w:t>
      </w:r>
      <w:r>
        <w:rPr>
          <w:rFonts w:ascii="Calibri" w:cs="Calibri" w:eastAsia="Calibri" w:hAnsi="Calibri"/>
          <w:color w:val="1A1A1A"/>
          <w:sz w:val="21"/>
          <w:szCs w:val="21"/>
        </w:rPr>
        <w:t xml:space="preserve">A separate, stronger judge model — distinct from every citizen backbone — for trace classification and manipulation checks, so that no model grades its own output. Primary outcomes never pass through a judge; they are read off the action log.</w:t>
      </w:r>
    </w:p>
    <w:p>
      <w:pPr>
        <w:spacing w:after="140" w:line="276"/>
      </w:pPr>
      <w:r>
        <w:rPr>
          <w:rFonts w:ascii="Calibri" w:cs="Calibri" w:eastAsia="Calibri" w:hAnsi="Calibri"/>
          <w:b/>
          <w:bCs/>
          <w:color w:val="1A1A1A"/>
          <w:sz w:val="21"/>
          <w:szCs w:val="21"/>
        </w:rPr>
        <w:t xml:space="preserve">Stack. </w:t>
      </w:r>
      <w:r>
        <w:rPr>
          <w:rFonts w:ascii="Calibri" w:cs="Calibri" w:eastAsia="Calibri" w:hAnsi="Calibri"/>
          <w:color w:val="1A1A1A"/>
          <w:sz w:val="21"/>
          <w:szCs w:val="21"/>
        </w:rPr>
        <w:t xml:space="preserve">Python 3.11 · Hugging Face datasets · NetworkX (topology) · pandas / Parquet (logs) · statsmodels and lifelines (analysis) · Matplotlib (figures) · YAML configs with pinned seeds.</w:t>
      </w:r>
    </w:p>
    <w:p>
      <w:pPr>
        <w:spacing w:after="140" w:line="276"/>
      </w:pPr>
      <w:r>
        <w:rPr>
          <w:rFonts w:ascii="Calibri" w:cs="Calibri" w:eastAsia="Calibri" w:hAnsi="Calibri"/>
          <w:b/>
          <w:bCs/>
          <w:color w:val="1A1A1A"/>
          <w:sz w:val="21"/>
          <w:szCs w:val="21"/>
        </w:rPr>
        <w:t xml:space="preserve">Status. </w:t>
      </w:r>
      <w:r>
        <w:rPr>
          <w:rFonts w:ascii="Calibri" w:cs="Calibri" w:eastAsia="Calibri" w:hAnsi="Calibri"/>
          <w:color w:val="1A1A1A"/>
          <w:sz w:val="21"/>
          <w:szCs w:val="21"/>
        </w:rPr>
        <w:t xml:space="preserve">A reference implementation of this layout exists, passes 107 tests including hand-computed payoff-ledger checks, and reproduces the full grid with one command. The 16-week schedule in §9 begins from that engine. Nothing in the game, metrics or analysis layers depends on which model — or whether any model — supplies the citizen policies, so swapping the four backbones in is a configuration change.</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nudgesim/</w:t>
            </w:r>
          </w:p>
          <w:p>
            <w:pPr>
              <w:spacing w:after="0" w:line="240"/>
            </w:pPr>
            <w:r>
              <w:rPr>
                <w:rFonts w:ascii="Consolas" w:cs="Consolas" w:eastAsia="Consolas" w:hAnsi="Consolas"/>
                <w:color w:val="1A1A1A"/>
                <w:sz w:val="18"/>
                <w:szCs w:val="18"/>
              </w:rPr>
              <w:t xml:space="preserve">├─ configs/          # experiment grid, seeds, payoff parameters (YAML)</w:t>
            </w:r>
          </w:p>
          <w:p>
            <w:pPr>
              <w:spacing w:after="0" w:line="240"/>
            </w:pPr>
            <w:r>
              <w:rPr>
                <w:rFonts w:ascii="Consolas" w:cs="Consolas" w:eastAsia="Consolas" w:hAnsi="Consolas"/>
                <w:color w:val="1A1A1A"/>
                <w:sz w:val="18"/>
                <w:szCs w:val="18"/>
              </w:rPr>
              <w:t xml:space="preserve">├─ data/</w:t>
            </w:r>
          </w:p>
          <w:p>
            <w:pPr>
              <w:spacing w:after="0" w:line="240"/>
            </w:pPr>
            <w:r>
              <w:rPr>
                <w:rFonts w:ascii="Consolas" w:cs="Consolas" w:eastAsia="Consolas" w:hAnsi="Consolas"/>
                <w:color w:val="1A1A1A"/>
                <w:sz w:val="18"/>
                <w:szCs w:val="18"/>
              </w:rPr>
              <w:t xml:space="preserve">│   ├─ liar/         # claim-pool builder (severity/topic stratification, de-ID)</w:t>
            </w:r>
          </w:p>
          <w:p>
            <w:pPr>
              <w:spacing w:after="0" w:line="240"/>
            </w:pPr>
            <w:r>
              <w:rPr>
                <w:rFonts w:ascii="Consolas" w:cs="Consolas" w:eastAsia="Consolas" w:hAnsi="Consolas"/>
                <w:color w:val="1A1A1A"/>
                <w:sz w:val="18"/>
                <w:szCs w:val="18"/>
              </w:rPr>
              <w:t xml:space="preserve">│   └─ pheme/        # reply-tree parsing → 7-node motifs + cascade statistics</w:t>
            </w:r>
          </w:p>
          <w:p>
            <w:pPr>
              <w:spacing w:after="0" w:line="240"/>
            </w:pPr>
            <w:r>
              <w:rPr>
                <w:rFonts w:ascii="Consolas" w:cs="Consolas" w:eastAsia="Consolas" w:hAnsi="Consolas"/>
                <w:color w:val="1A1A1A"/>
                <w:sz w:val="18"/>
                <w:szCs w:val="18"/>
              </w:rPr>
              <w:t xml:space="preserve">├─ src/</w:t>
            </w:r>
          </w:p>
          <w:p>
            <w:pPr>
              <w:spacing w:after="0" w:line="240"/>
            </w:pPr>
            <w:r>
              <w:rPr>
                <w:rFonts w:ascii="Consolas" w:cs="Consolas" w:eastAsia="Consolas" w:hAnsi="Consolas"/>
                <w:color w:val="1A1A1A"/>
                <w:sz w:val="18"/>
                <w:szCs w:val="18"/>
              </w:rPr>
              <w:t xml:space="preserve">│   ├─ game/         # action space, payoff ledger, equilibrium reference (UNIT-TESTED)</w:t>
            </w:r>
          </w:p>
          <w:p>
            <w:pPr>
              <w:spacing w:after="0" w:line="240"/>
            </w:pPr>
            <w:r>
              <w:rPr>
                <w:rFonts w:ascii="Consolas" w:cs="Consolas" w:eastAsia="Consolas" w:hAnsi="Consolas"/>
                <w:color w:val="1A1A1A"/>
                <w:sz w:val="18"/>
                <w:szCs w:val="18"/>
              </w:rPr>
              <w:t xml:space="preserve">│   ├─ agents/       # persona suites (A1/A2, B1/B2, C, disseminator, intervener)</w:t>
            </w:r>
          </w:p>
          <w:p>
            <w:pPr>
              <w:spacing w:after="0" w:line="240"/>
            </w:pPr>
            <w:r>
              <w:rPr>
                <w:rFonts w:ascii="Consolas" w:cs="Consolas" w:eastAsia="Consolas" w:hAnsi="Consolas"/>
                <w:color w:val="1A1A1A"/>
                <w:sz w:val="18"/>
                <w:szCs w:val="18"/>
              </w:rPr>
              <w:t xml:space="preserve">│   ├─ backends/     # provider-agnostic LLM interface + response cache</w:t>
            </w:r>
          </w:p>
          <w:p>
            <w:pPr>
              <w:spacing w:after="0" w:line="240"/>
            </w:pPr>
            <w:r>
              <w:rPr>
                <w:rFonts w:ascii="Consolas" w:cs="Consolas" w:eastAsia="Consolas" w:hAnsi="Consolas"/>
                <w:color w:val="1A1A1A"/>
                <w:sz w:val="18"/>
                <w:szCs w:val="18"/>
              </w:rPr>
              <w:t xml:space="preserve">│   ├─ env/          # asyncio episode loop + termination guards</w:t>
            </w:r>
          </w:p>
          <w:p>
            <w:pPr>
              <w:spacing w:after="0" w:line="240"/>
            </w:pPr>
            <w:r>
              <w:rPr>
                <w:rFonts w:ascii="Consolas" w:cs="Consolas" w:eastAsia="Consolas" w:hAnsi="Consolas"/>
                <w:color w:val="1A1A1A"/>
                <w:sz w:val="18"/>
                <w:szCs w:val="18"/>
              </w:rPr>
              <w:t xml:space="preserve">│   ├─ oasis/        # N=50 scale-check adapter, shared logging schema</w:t>
            </w:r>
          </w:p>
          <w:p>
            <w:pPr>
              <w:spacing w:after="0" w:line="240"/>
            </w:pPr>
            <w:r>
              <w:rPr>
                <w:rFonts w:ascii="Consolas" w:cs="Consolas" w:eastAsia="Consolas" w:hAnsi="Consolas"/>
                <w:color w:val="1A1A1A"/>
                <w:sz w:val="18"/>
                <w:szCs w:val="18"/>
              </w:rPr>
              <w:t xml:space="preserve">│   ├─ intervention/ # timing × tone scheduler, payload templating</w:t>
            </w:r>
          </w:p>
          <w:p>
            <w:pPr>
              <w:spacing w:after="0" w:line="240"/>
            </w:pPr>
            <w:r>
              <w:rPr>
                <w:rFonts w:ascii="Consolas" w:cs="Consolas" w:eastAsia="Consolas" w:hAnsi="Consolas"/>
                <w:color w:val="1A1A1A"/>
                <w:sz w:val="18"/>
                <w:szCs w:val="18"/>
              </w:rPr>
              <w:t xml:space="preserve">│   └─ metrics/      # action-log metrics, trace classifier, probes</w:t>
            </w:r>
          </w:p>
          <w:p>
            <w:pPr>
              <w:spacing w:after="0" w:line="240"/>
            </w:pPr>
            <w:r>
              <w:rPr>
                <w:rFonts w:ascii="Consolas" w:cs="Consolas" w:eastAsia="Consolas" w:hAnsi="Consolas"/>
                <w:color w:val="1A1A1A"/>
                <w:sz w:val="18"/>
                <w:szCs w:val="18"/>
              </w:rPr>
              <w:t xml:space="preserve">├─ analysis/         # preregistered models, survival analysis, power, figures</w:t>
            </w:r>
          </w:p>
          <w:p>
            <w:pPr>
              <w:spacing w:after="0" w:line="240"/>
            </w:pPr>
            <w:r>
              <w:rPr>
                <w:rFonts w:ascii="Consolas" w:cs="Consolas" w:eastAsia="Consolas" w:hAnsi="Consolas"/>
                <w:color w:val="1A1A1A"/>
                <w:sz w:val="18"/>
                <w:szCs w:val="18"/>
              </w:rPr>
              <w:t xml:space="preserve">└─ runs/             # JSONL episode logs → versioned Parquet</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8. Analysis Plan</w:t>
      </w:r>
    </w:p>
    <w:p>
      <w:pPr>
        <w:spacing w:after="140" w:line="276"/>
      </w:pPr>
      <w:r>
        <w:rPr>
          <w:rFonts w:ascii="Calibri" w:cs="Calibri" w:eastAsia="Calibri" w:hAnsi="Calibri"/>
          <w:b/>
          <w:bCs/>
          <w:color w:val="1A1A1A"/>
          <w:sz w:val="21"/>
          <w:szCs w:val="21"/>
        </w:rPr>
        <w:t xml:space="preserve">Primary. </w:t>
      </w:r>
      <w:r>
        <w:rPr>
          <w:rFonts w:ascii="Calibri" w:cs="Calibri" w:eastAsia="Calibri" w:hAnsi="Calibri"/>
          <w:color w:val="1A1A1A"/>
          <w:sz w:val="21"/>
          <w:szCs w:val="21"/>
        </w:rPr>
        <w:t xml:space="preserve">Mixed-effects models on episode-level cumulative FPR and EPC, with fixed effects for timing × tone × backbone, random intercepts for claim, topology and seed block, and intervener reach as a covariate (§5.2). Dunnett contrasts of each treatment cell against its own-model control — pooling controls across backbones would confound the intervention effect with backbone differences, which H5 says may be the larger of the two.</w:t>
      </w:r>
    </w:p>
    <w:p>
      <w:pPr>
        <w:spacing w:after="140" w:line="276"/>
      </w:pPr>
      <w:r>
        <w:rPr>
          <w:rFonts w:ascii="Calibri" w:cs="Calibri" w:eastAsia="Calibri" w:hAnsi="Calibri"/>
          <w:b/>
          <w:bCs/>
          <w:color w:val="1A1A1A"/>
          <w:sz w:val="21"/>
          <w:szCs w:val="21"/>
        </w:rPr>
        <w:t xml:space="preserve">Headline test (H3). </w:t>
      </w:r>
      <w:r>
        <w:rPr>
          <w:rFonts w:ascii="Calibri" w:cs="Calibri" w:eastAsia="Calibri" w:hAnsi="Calibri"/>
          <w:color w:val="1A1A1A"/>
          <w:sz w:val="21"/>
          <w:szCs w:val="21"/>
        </w:rPr>
        <w:t xml:space="preserve">Sign and significance of the tone effect on EPC relative to control, tested separately from the tone effect on FPR, and estimated on the focused arm rather than the core grid. A dissociation — aggressive tone lowering FPR while also lowering EPC — is the paper's central claim if it holds.</w:t>
      </w:r>
    </w:p>
    <w:p>
      <w:pPr>
        <w:spacing w:after="140" w:line="276"/>
      </w:pPr>
      <w:r>
        <w:rPr>
          <w:rFonts w:ascii="Calibri" w:cs="Calibri" w:eastAsia="Calibri" w:hAnsi="Calibri"/>
          <w:b/>
          <w:bCs/>
          <w:color w:val="1A1A1A"/>
          <w:sz w:val="21"/>
          <w:szCs w:val="21"/>
        </w:rPr>
        <w:t xml:space="preserve">Specificity (RQ5). </w:t>
      </w:r>
      <w:r>
        <w:rPr>
          <w:rFonts w:ascii="Calibri" w:cs="Calibri" w:eastAsia="Calibri" w:hAnsi="Calibri"/>
          <w:color w:val="1A1A1A"/>
          <w:sz w:val="21"/>
          <w:szCs w:val="21"/>
        </w:rPr>
        <w:t xml:space="preserve">Two preregistered contrasts, not one: the pooled treated-versus-control comparison, and the same comparison conditional on the intervener having actually fired. Pooling alone averages the intervener's false alarms together with the episodes where it correctly stayed silent, and those carry opposite information.</w:t>
      </w:r>
    </w:p>
    <w:p>
      <w:pPr>
        <w:spacing w:after="140" w:line="276"/>
      </w:pPr>
      <w:r>
        <w:rPr>
          <w:rFonts w:ascii="Calibri" w:cs="Calibri" w:eastAsia="Calibri" w:hAnsi="Calibri"/>
          <w:b/>
          <w:bCs/>
          <w:color w:val="1A1A1A"/>
          <w:sz w:val="21"/>
          <w:szCs w:val="21"/>
        </w:rPr>
        <w:t xml:space="preserve">Model dependence (H5). </w:t>
      </w:r>
      <w:r>
        <w:rPr>
          <w:rFonts w:ascii="Calibri" w:cs="Calibri" w:eastAsia="Calibri" w:hAnsi="Calibri"/>
          <w:color w:val="1A1A1A"/>
          <w:sz w:val="21"/>
          <w:szCs w:val="21"/>
        </w:rPr>
        <w:t xml:space="preserve">Variance decomposition comparing between-model and between-condition effect sizes; three-way interaction test.</w:t>
      </w:r>
    </w:p>
    <w:p>
      <w:pPr>
        <w:spacing w:after="140" w:line="276"/>
      </w:pPr>
      <w:r>
        <w:rPr>
          <w:rFonts w:ascii="Calibri" w:cs="Calibri" w:eastAsia="Calibri" w:hAnsi="Calibri"/>
          <w:b/>
          <w:bCs/>
          <w:color w:val="1A1A1A"/>
          <w:sz w:val="21"/>
          <w:szCs w:val="21"/>
        </w:rPr>
        <w:t xml:space="preserve">Durability. </w:t>
      </w:r>
      <w:r>
        <w:rPr>
          <w:rFonts w:ascii="Calibri" w:cs="Calibri" w:eastAsia="Calibri" w:hAnsi="Calibri"/>
          <w:color w:val="1A1A1A"/>
          <w:sz w:val="21"/>
          <w:szCs w:val="21"/>
        </w:rPr>
        <w:t xml:space="preserve">Area under the post-intervention FPR curve as the primary measure; Kaplan–Meier curves and log-rank tests on the relative-threshold half-life as secondary (§5.5).</w:t>
      </w:r>
    </w:p>
    <w:p>
      <w:pPr>
        <w:spacing w:after="140" w:line="276"/>
      </w:pPr>
      <w:r>
        <w:rPr>
          <w:rFonts w:ascii="Calibri" w:cs="Calibri" w:eastAsia="Calibri" w:hAnsi="Calibri"/>
          <w:b/>
          <w:bCs/>
          <w:color w:val="1A1A1A"/>
          <w:sz w:val="21"/>
          <w:szCs w:val="21"/>
        </w:rPr>
        <w:t xml:space="preserve">Effect sizes in outcome units (new in v2.4). </w:t>
      </w:r>
      <w:r>
        <w:rPr>
          <w:rFonts w:ascii="Calibri" w:cs="Calibri" w:eastAsia="Calibri" w:hAnsi="Calibri"/>
          <w:color w:val="1A1A1A"/>
          <w:sz w:val="21"/>
          <w:szCs w:val="21"/>
        </w:rPr>
        <w:t xml:space="preserve">The mixed model says whether a factor matters once everything else is held fixed; it does not say by how much, in the units the outcome is measured in. Following MoralSim, every manipulated factor also carries an average treatment effect with a bootstrap 95% CI, marginalised over the other factors and repeated within each backbone — a design effect that reverses sign across models is a different finding from one that does not, and a pooled coefficient hides that. In the surrogate reference run: intervention → EPC = +0.081 [+0.067, +0.094]; late versus early entry = −0.051 [−0.070, −0.031]; aggressive versus empathetic tone = −0.018 [−0.038, +0.002], the one contrast that does not clear zero.</w:t>
      </w:r>
    </w:p>
    <w:p>
      <w:pPr>
        <w:spacing w:after="140" w:line="276"/>
      </w:pPr>
      <w:r>
        <w:rPr>
          <w:rFonts w:ascii="Calibri" w:cs="Calibri" w:eastAsia="Calibri" w:hAnsi="Calibri"/>
          <w:b/>
          <w:bCs/>
          <w:color w:val="1A1A1A"/>
          <w:sz w:val="21"/>
          <w:szCs w:val="21"/>
        </w:rPr>
        <w:t xml:space="preserve">A human row (new in v2.4). </w:t>
      </w:r>
      <w:r>
        <w:rPr>
          <w:rFonts w:ascii="Calibri" w:cs="Calibri" w:eastAsia="Calibri" w:hAnsi="Calibri"/>
          <w:color w:val="1A1A1A"/>
          <w:sz w:val="21"/>
          <w:szCs w:val="21"/>
        </w:rPr>
        <w:t xml:space="preserve">Model numbers have no scale on them unless something human sits beside them. Following SanctSim's Table 1, the results table carries a row from Gurerk, Irlenbusch &amp; Rockenbach (2006) on two quantities both designs define: take-up of costly enforcement, and sanctioning relative to affirmation. Absolute levels are not comparable between a token-contribution game and a misinformation game, so each entry declares that it licenses an ordering and nothing stronger. In the surrogate control arm, 0.167 of citizens ever pay the challenge cost against 0.929 of Gurerk's subjects choosing the sanctioning institution, and 0.076 challenges per endorsement against a punishment-to-reward ratio of 1.66 — the second-order free-rider problem this design exists to study, measured rather than assumed.</w:t>
      </w:r>
    </w:p>
    <w:p>
      <w:pPr>
        <w:spacing w:after="140" w:line="276"/>
      </w:pPr>
      <w:r>
        <w:rPr>
          <w:rFonts w:ascii="Calibri" w:cs="Calibri" w:eastAsia="Calibri" w:hAnsi="Calibri"/>
          <w:b/>
          <w:bCs/>
          <w:color w:val="1A1A1A"/>
          <w:sz w:val="21"/>
          <w:szCs w:val="21"/>
        </w:rPr>
        <w:t xml:space="preserve">Norm robustness (new in v2.4). </w:t>
      </w:r>
      <w:r>
        <w:rPr>
          <w:rFonts w:ascii="Calibri" w:cs="Calibri" w:eastAsia="Calibri" w:hAnsi="Calibri"/>
          <w:color w:val="1A1A1A"/>
          <w:sz w:val="21"/>
          <w:szCs w:val="21"/>
        </w:rPr>
        <w:t xml:space="preserve">Following GovSim §3.3, a defector is seated among the citizens at the half-way round — either an amplifier that backs the false claim every round, or a free rider that stops paying the correction cost — and the question is what the other citizens do about it. Outcomes exclude the perturbation seat in both arms, so a fall means peers stood down rather than that the defector's own silence was counted. In the surrogate run peers do not change their correction rate under either defector, which is coherent with a society that had almost no enforcement norm to defend.</w:t>
      </w:r>
    </w:p>
    <w:p>
      <w:pPr>
        <w:spacing w:after="140" w:line="276"/>
      </w:pPr>
      <w:r>
        <w:rPr>
          <w:rFonts w:ascii="Calibri" w:cs="Calibri" w:eastAsia="Calibri" w:hAnsi="Calibri"/>
          <w:b/>
          <w:bCs/>
          <w:color w:val="1A1A1A"/>
          <w:sz w:val="21"/>
          <w:szCs w:val="21"/>
        </w:rPr>
        <w:t xml:space="preserve">Inference hygiene. </w:t>
      </w:r>
      <w:r>
        <w:rPr>
          <w:rFonts w:ascii="Calibri" w:cs="Calibri" w:eastAsia="Calibri" w:hAnsi="Calibri"/>
          <w:color w:val="1A1A1A"/>
          <w:sz w:val="21"/>
          <w:szCs w:val="21"/>
        </w:rPr>
        <w:t xml:space="preserve">Bootstrap 95% CIs, Holm correction within each outcome family, effect sizes (partial η², Cohen's d, odds ratios) reported alongside p-values.</w:t>
      </w:r>
    </w:p>
    <w:p>
      <w:pPr>
        <w:spacing w:after="140" w:line="276"/>
      </w:pPr>
      <w:r>
        <w:rPr>
          <w:rFonts w:ascii="Calibri" w:cs="Calibri" w:eastAsia="Calibri" w:hAnsi="Calibri"/>
          <w:b/>
          <w:bCs/>
          <w:color w:val="1A1A1A"/>
          <w:sz w:val="21"/>
          <w:szCs w:val="21"/>
        </w:rPr>
        <w:t xml:space="preserve">Robustness. </w:t>
      </w:r>
      <w:r>
        <w:rPr>
          <w:rFonts w:ascii="Calibri" w:cs="Calibri" w:eastAsia="Calibri" w:hAnsi="Calibri"/>
          <w:color w:val="1A1A1A"/>
          <w:sz w:val="21"/>
          <w:szCs w:val="21"/>
        </w:rPr>
        <w:t xml:space="preserve">Payoff-visibility ablation, β/γ sweep, topology type, intervener reach, claim severity, decoding temperature, judge swap, and human-validated κ for every judge-dependent measure.</w:t>
      </w:r>
    </w:p>
    <w:p>
      <w:pPr>
        <w:spacing w:after="140" w:line="276"/>
      </w:pPr>
      <w:r>
        <w:rPr>
          <w:rFonts w:ascii="Calibri" w:cs="Calibri" w:eastAsia="Calibri" w:hAnsi="Calibri"/>
          <w:b/>
          <w:bCs/>
          <w:color w:val="1A1A1A"/>
          <w:sz w:val="21"/>
          <w:szCs w:val="21"/>
        </w:rPr>
        <w:t xml:space="preserve">Power (v2.1, revised in v2.4). </w:t>
      </w:r>
      <w:r>
        <w:rPr>
          <w:rFonts w:ascii="Calibri" w:cs="Calibri" w:eastAsia="Calibri" w:hAnsi="Calibri"/>
          <w:color w:val="1A1A1A"/>
          <w:sz w:val="21"/>
          <w:szCs w:val="21"/>
        </w:rPr>
        <w:t xml:space="preserve">The analysis plan carries an explicit power statement for every primary contrast, computed from the Month-2 pilot and frozen with the preregistration. A contrast whose 80%-power requirement exceeds its allocated sample is declared exploratory before the grid runs, not reinterpreted afterwards. The pilot's power analysis is itself a deliverable of the Week-8 gate.</w:t>
      </w:r>
    </w:p>
    <w:p>
      <w:pPr>
        <w:spacing w:after="140" w:line="276"/>
      </w:pPr>
      <w:r>
        <w:rPr>
          <w:rFonts w:ascii="Calibri" w:cs="Calibri" w:eastAsia="Calibri" w:hAnsi="Calibri"/>
          <w:b/>
          <w:bCs/>
          <w:color w:val="1A1A1A"/>
          <w:sz w:val="21"/>
          <w:szCs w:val="21"/>
        </w:rPr>
        <w:t xml:space="preserve">Validation of the analysis itself (new in v2.4). </w:t>
      </w:r>
      <w:r>
        <w:rPr>
          <w:rFonts w:ascii="Calibri" w:cs="Calibri" w:eastAsia="Calibri" w:hAnsi="Calibri"/>
          <w:color w:val="1A1A1A"/>
          <w:sz w:val="21"/>
          <w:szCs w:val="21"/>
        </w:rPr>
        <w:t xml:space="preserve">Before the analysis is trusted to report an effect it is run against three declared data-generating processes: the effect present at its declared size, inflated, and set to zero. It must find the effect, find more of it, and find none of it, in that order. This is what caught the reproducibility defect in §5.9 — with per-process seeds the inflated arm appeared to shrink the effect it inflates, which is not a result any parameterisation can produce and was therefore a bug. With stable seeds the triad separates as it should: d = −0.166 declared, −0.249 inflated, −0.021 zeroed.</w:t>
      </w:r>
    </w:p>
    <w:p>
      <w:pPr>
        <w:spacing w:after="140" w:line="276"/>
      </w:pPr>
      <w:r>
        <w:rPr>
          <w:rFonts w:ascii="Calibri" w:cs="Calibri" w:eastAsia="Calibri" w:hAnsi="Calibri"/>
          <w:b/>
          <w:bCs/>
          <w:color w:val="1A1A1A"/>
          <w:sz w:val="21"/>
          <w:szCs w:val="21"/>
        </w:rPr>
        <w:t xml:space="preserve">Preregistration. </w:t>
      </w:r>
      <w:r>
        <w:rPr>
          <w:rFonts w:ascii="Calibri" w:cs="Calibri" w:eastAsia="Calibri" w:hAnsi="Calibri"/>
          <w:color w:val="1A1A1A"/>
          <w:sz w:val="21"/>
          <w:szCs w:val="21"/>
        </w:rPr>
        <w:t xml:space="preserve">The full analysis plan, including the primary/secondary split, the confirmatory/exploratory tiering, the power statement and all stopping rules, is frozen on OSF at the end of Month 2, before any main-grid run.</w:t>
      </w:r>
    </w:p>
    <w:p>
      <w:pPr>
        <w:pStyle w:val="Heading1"/>
        <w:pBdr>
          <w:bottom w:val="single" w:color="C9D6E4" w:sz="6" w:space="6"/>
        </w:pBdr>
        <w:spacing w:after="160" w:before="360"/>
      </w:pPr>
      <w:r>
        <w:rPr>
          <w:rFonts w:ascii="Calibri" w:cs="Calibri" w:eastAsia="Calibri" w:hAnsi="Calibri"/>
          <w:b/>
          <w:bCs/>
          <w:color w:val="1F4E79"/>
          <w:sz w:val="32"/>
          <w:szCs w:val="32"/>
        </w:rPr>
        <w:t xml:space="preserve">9. Execution Timeline (16 Weeks)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210"/>
        <w:gridCol w:w="1008"/>
        <w:gridCol w:w="4435"/>
        <w:gridCol w:w="3427"/>
      </w:tblGrid>
      <w:tr>
        <w:trPr>
          <w:tblHeader/>
        </w:trPr>
        <w:tc>
          <w:tcPr>
            <w:tcW w:type="dxa" w:w="12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Month</w:t>
            </w:r>
          </w:p>
        </w:tc>
        <w:tc>
          <w:tcPr>
            <w:tcW w:type="dxa" w:w="100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Weeks</w:t>
            </w:r>
          </w:p>
        </w:tc>
        <w:tc>
          <w:tcPr>
            <w:tcW w:type="dxa" w:w="4435"/>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Objectives</w:t>
            </w:r>
          </w:p>
        </w:tc>
        <w:tc>
          <w:tcPr>
            <w:tcW w:type="dxa" w:w="342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Deliverables / gates</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 — Game engine &amp; agents</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W1–W4</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Port and harden the reference engine: action space, payoff ledger, episode loop. Build LIAR claim pool (stratification, de-identification) and PHEME motif parser. Finalise and freeze persona and intervener prompt suites; fix the four backbones.</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Repo v0.1 with data cards. Gate: payoff ledger passes hand-computed unit tests; de-identification passes its leakage and over-redaction tests. Frozen, versioned prompt suites.</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 — Calibration, pilot &amp; prereg</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W5–W8</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Run control baselines and compare cascade statistics to PHEME and to the false-vs-true diffusion asymmetry. Pilot five episodes per cell on all four backbones. Human-code 300 reasoning traces and validate the classifier. Tune timing thresholds and freeze them. Compute the power analysis and fix the confirmatory/exploratory tiering.</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Go/No-Go: calibration within tolerance band, stable episodes, classifier κ ≥ 0.7. NEW GATE: power analysis complete and every confirmatory contrast adequately powered at its allocated sample, or demoted. OSF preregistration filed. Pilot report.</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 — Main grid &amp; scale check</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W9–W12</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Execute the core grid, the focused arm, the placebo arm and both ablations (2,780 episodes). Run the N = 50 OASIS scale check. Aggregate into analysis-ready DataFrames.</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Complete raw-log archive. Versioned results Parquet. Scale-check comparison table.</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 — Synthesis &amp; writing</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W13–W16</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Statistical analysis against the preregistered plan; figure generation. Draft manuscript; revision cycle with Prof. Jin in W14–W15. Prepare framework release, data cards, and ethics statement.</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NudgeSim v1.0 public release with one-command reproduction. arXiv preprint. Workshop-length paper submitted.</w:t>
            </w:r>
          </w:p>
        </w:tc>
      </w:tr>
    </w:tbl>
    <w:p>
      <w:pPr>
        <w:spacing w:after="140" w:line="276"/>
      </w:pPr>
      <w:r>
        <w:rPr>
          <w:rFonts w:ascii="Calibri" w:cs="Calibri" w:eastAsia="Calibri" w:hAnsi="Calibri"/>
          <w:b/>
          <w:bCs/>
          <w:color w:val="1A1A1A"/>
          <w:sz w:val="21"/>
          <w:szCs w:val="21"/>
        </w:rPr>
        <w:t xml:space="preserve">A note on scope honesty. </w:t>
      </w:r>
      <w:r>
        <w:rPr>
          <w:rFonts w:ascii="Calibri" w:cs="Calibri" w:eastAsia="Calibri" w:hAnsi="Calibri"/>
          <w:color w:val="1A1A1A"/>
          <w:sz w:val="21"/>
          <w:szCs w:val="21"/>
        </w:rPr>
        <w:t xml:space="preserve">Sixteen weeks covering engine construction, a calibration gate, human coding, a 2,780-episode grid, a scale check, and a full main-track manuscript would be an over-promise. The plan therefore treats a workshop paper, the preprint, and the open framework as the in-scope deliverables, with the extended main-track version — additional backbones, larger scale check, richer intervener policies — as the immediate follow-on in months 5–7. Stating this up front is preferable to discovering it in week 14.</w:t>
      </w:r>
    </w:p>
    <w:p>
      <w:pPr>
        <w:spacing w:after="140" w:line="276"/>
      </w:pPr>
      <w:r>
        <w:rPr>
          <w:rFonts w:ascii="Calibri" w:cs="Calibri" w:eastAsia="Calibri" w:hAnsi="Calibri"/>
          <w:b/>
          <w:bCs/>
          <w:color w:val="1A1A1A"/>
          <w:sz w:val="21"/>
          <w:szCs w:val="21"/>
        </w:rPr>
        <w:t xml:space="preserve">What v2.1 buys back. </w:t>
      </w:r>
      <w:r>
        <w:rPr>
          <w:rFonts w:ascii="Calibri" w:cs="Calibri" w:eastAsia="Calibri" w:hAnsi="Calibri"/>
          <w:color w:val="1A1A1A"/>
          <w:sz w:val="21"/>
          <w:szCs w:val="21"/>
        </w:rPr>
        <w:t xml:space="preserve">Because the engine already exists and is tested, Month 1 is a hardening-and-porting month rather than a build-from-scratch month, which is what makes the larger grid fit inside the same sixteen weeks.</w:t>
      </w:r>
    </w:p>
    <w:p>
      <w:pPr>
        <w:pStyle w:val="Heading1"/>
        <w:pBdr>
          <w:bottom w:val="single" w:color="C9D6E4" w:sz="6" w:space="6"/>
        </w:pBdr>
        <w:spacing w:after="160" w:before="360"/>
      </w:pPr>
      <w:r>
        <w:rPr>
          <w:rFonts w:ascii="Calibri" w:cs="Calibri" w:eastAsia="Calibri" w:hAnsi="Calibri"/>
          <w:b/>
          <w:bCs/>
          <w:color w:val="1F4E79"/>
          <w:sz w:val="32"/>
          <w:szCs w:val="32"/>
        </w:rPr>
        <w:t xml:space="preserve">10. Venue Strategy</w:t>
      </w:r>
    </w:p>
    <w:p>
      <w:pPr>
        <w:spacing w:after="140" w:line="276"/>
      </w:pPr>
      <w:r>
        <w:rPr>
          <w:rFonts w:ascii="Calibri" w:cs="Calibri" w:eastAsia="Calibri" w:hAnsi="Calibri"/>
          <w:b/>
          <w:bCs/>
          <w:color w:val="1A1A1A"/>
          <w:sz w:val="21"/>
          <w:szCs w:val="21"/>
        </w:rPr>
        <w:t xml:space="preserve">Near-term (in scope). </w:t>
      </w:r>
      <w:r>
        <w:rPr>
          <w:rFonts w:ascii="Calibri" w:cs="Calibri" w:eastAsia="Calibri" w:hAnsi="Calibri"/>
          <w:color w:val="1A1A1A"/>
          <w:sz w:val="21"/>
          <w:szCs w:val="21"/>
        </w:rPr>
        <w:t xml:space="preserve">A workshop on social agents, multi-agent safety, or computational social science at NeurIPS / ACL / ICWSM 2026, chosen with Prof. Jin — for rapid feedback and to establish the framework publicly. arXiv preprint posted at the end of Month 4.</w:t>
      </w:r>
    </w:p>
    <w:p>
      <w:pPr>
        <w:spacing w:after="140" w:line="276"/>
      </w:pPr>
      <w:r>
        <w:rPr>
          <w:rFonts w:ascii="Calibri" w:cs="Calibri" w:eastAsia="Calibri" w:hAnsi="Calibri"/>
          <w:b/>
          <w:bCs/>
          <w:color w:val="1A1A1A"/>
          <w:sz w:val="21"/>
          <w:szCs w:val="21"/>
        </w:rPr>
        <w:t xml:space="preserve">Main track (immediate follow-on). </w:t>
      </w:r>
      <w:r>
        <w:rPr>
          <w:rFonts w:ascii="Calibri" w:cs="Calibri" w:eastAsia="Calibri" w:hAnsi="Calibri"/>
          <w:color w:val="1A1A1A"/>
          <w:sz w:val="21"/>
          <w:szCs w:val="21"/>
        </w:rPr>
        <w:t xml:space="preserve">ICWSM or CSCW as the strongest topical fit for an intervention study on information cascades; ARR (ACL/EMNLP) framed around LLM agent behaviour under incentives; NeurIPS Datasets &amp; Benchmarks framed around NudgeSim as a testbed. The realistic path to a main-track venue runs through the completed scale check and the full model benchmark, not through the 16-week core alone.</w:t>
      </w:r>
    </w:p>
    <w:p>
      <w:pPr>
        <w:spacing w:after="140" w:line="276"/>
      </w:pPr>
      <w:r>
        <w:rPr>
          <w:rFonts w:ascii="Calibri" w:cs="Calibri" w:eastAsia="Calibri" w:hAnsi="Calibri"/>
          <w:b/>
          <w:bCs/>
          <w:color w:val="1A1A1A"/>
          <w:sz w:val="21"/>
          <w:szCs w:val="21"/>
        </w:rPr>
        <w:t xml:space="preserve">Positioning discipline. </w:t>
      </w:r>
      <w:r>
        <w:rPr>
          <w:rFonts w:ascii="Calibri" w:cs="Calibri" w:eastAsia="Calibri" w:hAnsi="Calibri"/>
          <w:color w:val="1A1A1A"/>
          <w:sz w:val="21"/>
          <w:szCs w:val="21"/>
        </w:rPr>
        <w:t xml:space="preserve">Whichever venue is chosen, the paper is framed as a mechanism study with a benchmark, not as a claim about human behaviour or about deployable persuasion policy.</w:t>
      </w:r>
    </w:p>
    <w:p>
      <w:pPr>
        <w:pStyle w:val="Heading1"/>
        <w:pBdr>
          <w:bottom w:val="single" w:color="C9D6E4" w:sz="6" w:space="6"/>
        </w:pBdr>
        <w:spacing w:after="160" w:before="360"/>
      </w:pPr>
      <w:r>
        <w:rPr>
          <w:rFonts w:ascii="Calibri" w:cs="Calibri" w:eastAsia="Calibri" w:hAnsi="Calibri"/>
          <w:b/>
          <w:bCs/>
          <w:color w:val="1F4E79"/>
          <w:sz w:val="32"/>
          <w:szCs w:val="32"/>
        </w:rPr>
        <w:t xml:space="preserve">11. Ethics and Responsible Release</w:t>
      </w:r>
    </w:p>
    <w:p>
      <w:pPr>
        <w:spacing w:after="140" w:line="276"/>
      </w:pPr>
      <w:r>
        <w:rPr>
          <w:rFonts w:ascii="Calibri" w:cs="Calibri" w:eastAsia="Calibri" w:hAnsi="Calibri"/>
          <w:b/>
          <w:bCs/>
          <w:color w:val="1A1A1A"/>
          <w:sz w:val="21"/>
          <w:szCs w:val="21"/>
        </w:rPr>
        <w:t xml:space="preserve">Simulation only. </w:t>
      </w:r>
      <w:r>
        <w:rPr>
          <w:rFonts w:ascii="Calibri" w:cs="Calibri" w:eastAsia="Calibri" w:hAnsi="Calibri"/>
          <w:color w:val="1A1A1A"/>
          <w:sz w:val="21"/>
          <w:szCs w:val="21"/>
        </w:rPr>
        <w:t xml:space="preserve">No human subjects, no live-platform deployment, no interaction between agents and real users. IRB review is expected to be unnecessary, to be confirmed with the host institution.</w:t>
      </w:r>
    </w:p>
    <w:p>
      <w:pPr>
        <w:spacing w:after="140" w:line="276"/>
      </w:pPr>
      <w:r>
        <w:rPr>
          <w:rFonts w:ascii="Calibri" w:cs="Calibri" w:eastAsia="Calibri" w:hAnsi="Calibri"/>
          <w:b/>
          <w:bCs/>
          <w:color w:val="1A1A1A"/>
          <w:sz w:val="21"/>
          <w:szCs w:val="21"/>
        </w:rPr>
        <w:t xml:space="preserve">No anthropomorphic inference. </w:t>
      </w:r>
      <w:r>
        <w:rPr>
          <w:rFonts w:ascii="Calibri" w:cs="Calibri" w:eastAsia="Calibri" w:hAnsi="Calibri"/>
          <w:color w:val="1A1A1A"/>
          <w:sz w:val="21"/>
          <w:szCs w:val="21"/>
        </w:rPr>
        <w:t xml:space="preserve">Agent actions are outputs of statistical models under a prompt and payoff regime. They are not evidence of belief, intent, or moral reasoning, and the paper will state explicitly that results describe model behaviour under incentives and are not estimates of how humans respond to correction. The exploratory credence probe is reported as a model self-report and is never described as a belief. This is the single most likely reviewer objection to agent-based misinformation work, and the design answers it structurally — by making the primary outcomes actions the agent pays for — rather than by disclaimer alone.</w:t>
      </w:r>
    </w:p>
    <w:p>
      <w:pPr>
        <w:spacing w:after="140" w:line="276"/>
      </w:pPr>
      <w:r>
        <w:rPr>
          <w:rFonts w:ascii="Calibri" w:cs="Calibri" w:eastAsia="Calibri" w:hAnsi="Calibri"/>
          <w:b/>
          <w:bCs/>
          <w:color w:val="1A1A1A"/>
          <w:sz w:val="21"/>
          <w:szCs w:val="21"/>
        </w:rPr>
        <w:t xml:space="preserve">Contained misinformation. </w:t>
      </w:r>
      <w:r>
        <w:rPr>
          <w:rFonts w:ascii="Calibri" w:cs="Calibri" w:eastAsia="Calibri" w:hAnsi="Calibri"/>
          <w:color w:val="1A1A1A"/>
          <w:sz w:val="21"/>
          <w:szCs w:val="21"/>
        </w:rPr>
        <w:t xml:space="preserve">All false claims originate in established research datasets; the pipeline authors no novel misinformation beyond controlled paraphrase, and real speaker names are removed from agent-visible text (§6).</w:t>
      </w:r>
    </w:p>
    <w:p>
      <w:pPr>
        <w:spacing w:after="140" w:line="276"/>
      </w:pPr>
      <w:r>
        <w:rPr>
          <w:rFonts w:ascii="Calibri" w:cs="Calibri" w:eastAsia="Calibri" w:hAnsi="Calibri"/>
          <w:b/>
          <w:bCs/>
          <w:color w:val="1A1A1A"/>
          <w:sz w:val="21"/>
          <w:szCs w:val="21"/>
        </w:rPr>
        <w:t xml:space="preserve">On concealment. </w:t>
      </w:r>
      <w:r>
        <w:rPr>
          <w:rFonts w:ascii="Calibri" w:cs="Calibri" w:eastAsia="Calibri" w:hAnsi="Calibri"/>
          <w:color w:val="1A1A1A"/>
          <w:sz w:val="21"/>
          <w:szCs w:val="21"/>
        </w:rPr>
        <w:t xml:space="preserve">The intervener's in-character, undisclosed-AI persona exists only inside the sandbox. The manuscript discusses why covert deployment of persuasive AI on real platforms raises consent and manipulation concerns, and positions findings as design guidance for transparent, platform-sanctioned interventions.</w:t>
      </w:r>
    </w:p>
    <w:p>
      <w:pPr>
        <w:spacing w:after="140" w:line="276"/>
      </w:pPr>
      <w:r>
        <w:rPr>
          <w:rFonts w:ascii="Calibri" w:cs="Calibri" w:eastAsia="Calibri" w:hAnsi="Calibri"/>
          <w:b/>
          <w:bCs/>
          <w:color w:val="1A1A1A"/>
          <w:sz w:val="21"/>
          <w:szCs w:val="21"/>
        </w:rPr>
        <w:t xml:space="preserve">Dual use. </w:t>
      </w:r>
      <w:r>
        <w:rPr>
          <w:rFonts w:ascii="Calibri" w:cs="Calibri" w:eastAsia="Calibri" w:hAnsi="Calibri"/>
          <w:color w:val="1A1A1A"/>
          <w:sz w:val="21"/>
          <w:szCs w:val="21"/>
        </w:rPr>
        <w:t xml:space="preserve">Evidence about persuasive timing and tone could inform influence operations. Mitigations: report aggregate effects rather than optimised persuasion recipes, centre the release on measurement and defence tooling, and complete the venue ethics checklist.</w:t>
      </w:r>
    </w:p>
    <w:p>
      <w:pPr>
        <w:spacing w:after="140" w:line="276"/>
      </w:pPr>
      <w:r>
        <w:rPr>
          <w:rFonts w:ascii="Calibri" w:cs="Calibri" w:eastAsia="Calibri" w:hAnsi="Calibri"/>
          <w:b/>
          <w:bCs/>
          <w:color w:val="1A1A1A"/>
          <w:sz w:val="21"/>
          <w:szCs w:val="21"/>
        </w:rPr>
        <w:t xml:space="preserve">Provenance discipline (new in v2.1). </w:t>
      </w:r>
      <w:r>
        <w:rPr>
          <w:rFonts w:ascii="Calibri" w:cs="Calibri" w:eastAsia="Calibri" w:hAnsi="Calibri"/>
          <w:color w:val="1A1A1A"/>
          <w:sz w:val="21"/>
          <w:szCs w:val="21"/>
        </w:rPr>
        <w:t xml:space="preserve">Every artefact records whether it came from the real corpora or from surrogate generators, and whether citizen policies were language models or an analytic stand-in. A run that used neither real data nor real models cannot be presented as a model benchmark, because the label travels with the file. This is an ethics property, not merely hygiene: publishing surrogate numbers as an LLM result is the most likely way this codebase could mislead.</w:t>
      </w:r>
    </w:p>
    <w:p>
      <w:pPr>
        <w:spacing w:after="140" w:line="276"/>
      </w:pPr>
      <w:r>
        <w:rPr>
          <w:rFonts w:ascii="Calibri" w:cs="Calibri" w:eastAsia="Calibri" w:hAnsi="Calibri"/>
          <w:b/>
          <w:bCs/>
          <w:color w:val="1A1A1A"/>
          <w:sz w:val="21"/>
          <w:szCs w:val="21"/>
        </w:rPr>
        <w:t xml:space="preserve">Licensing. </w:t>
      </w:r>
      <w:r>
        <w:rPr>
          <w:rFonts w:ascii="Calibri" w:cs="Calibri" w:eastAsia="Calibri" w:hAnsi="Calibri"/>
          <w:color w:val="1A1A1A"/>
          <w:sz w:val="21"/>
          <w:szCs w:val="21"/>
        </w:rPr>
        <w:t xml:space="preserve">PHEME annotations are CC-BY with tweet content governed by platform terms (derived topology only is released); LIAR is distributed for research use. Neither corpus is redistributed.</w:t>
      </w:r>
    </w:p>
    <w:p>
      <w:pPr>
        <w:pStyle w:val="Heading1"/>
        <w:pBdr>
          <w:bottom w:val="single" w:color="C9D6E4" w:sz="6" w:space="6"/>
        </w:pBdr>
        <w:spacing w:after="160" w:before="360"/>
      </w:pPr>
      <w:r>
        <w:rPr>
          <w:rFonts w:ascii="Calibri" w:cs="Calibri" w:eastAsia="Calibri" w:hAnsi="Calibri"/>
          <w:b/>
          <w:bCs/>
          <w:color w:val="1F4E79"/>
          <w:sz w:val="32"/>
          <w:szCs w:val="32"/>
        </w:rPr>
        <w:t xml:space="preserve">12. Risks and Mitigations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3629"/>
        <w:gridCol w:w="6451"/>
      </w:tblGrid>
      <w:tr>
        <w:trPr>
          <w:tblHeader/>
        </w:trPr>
        <w:tc>
          <w:tcPr>
            <w:tcW w:type="dxa" w:w="362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Risk</w:t>
            </w:r>
          </w:p>
        </w:tc>
        <w:tc>
          <w:tcPr>
            <w:tcW w:type="dxa" w:w="645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Mitigation</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Novelty overlap with MADD and the wider correction-simulation literature</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Delta stated explicitly and defended in §2: payoff formalisation, full factorial with interaction tests, second-order cooperation as the headline outcome, multi-model benchmark, specificity arm. Prior work cited as motivation and calibration, never omitted.</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design cannot detect its own headline effect</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realised risk in v2.0, now mitigated by the two-tier protocol (§5.9) and the Week-8 power gate (§9). Any contrast still under-powered at its allocated sample is declared exploratory before the grid runs.</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headline measure is determined by its own definition</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Also realised in v2.0, for epistemic welfare and for pollution half-life. Both are redefined in §5.5, and the rule going forward is that every primary measure is computed on pilot data and inspected for floor, ceiling and censoring effects before the preregistration is filed.</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Payoffs are in the prompt but do not actually drive behaviour</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1 (payoff visibility) is designed to detect exactly this. If behaviour is invariant to the payoff structure, that is reported as a substantive finding about LLM agents rather than hidden.</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Null or reversed effect on the crowding-out hypothesis (H3)</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factorial design, preregistration, placebo arm, calibration gate, and open framework keep the contribution publishable regardless of sign; a clean null on a preregistered dilemma is informative — provided it is a null at adequate power, which is what §5.9 now buys.</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Calibration gate fails — control baseline does not reproduce real cascade statistics</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Named Week-8 Go/No-Go. Remediation path: adjust neighbourhood visibility and disseminator persistence, re-run. If it still fails, the paper narrows to a within-simulation mechanism claim and drops network-level language.</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Judge measurement bias / circularity</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outcomes read directly off action logs, never from a judge. Judge model is distinct from all citizen backbones; external classifier for toxicity; human-validated κ reported for every judge-dependent measure.</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Tone confounded with informational content</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Identical templated payload across modes, length matching, lexical-overlap check, and a manipulation check on perceived tone validated against human raters.</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Degenerate loops or persona drift</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Hard turn caps, n-gram repetition detectors, automatic termination with flagging, periodic persona reinforcement, and drift statistics reported rather than suppressed.</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Scope overrun in 16 weeks</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In-scope deliverable explicitly set at workshop paper + preprint + framework (§9); main-track version scheduled as follow-on. Week-8 gate is a genuine stop point. The existing engine absorbs most of Month 1.</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External validity of a 7-agent society</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Positioned as a controlled mechanism study with an explicit payoff benchmark; N = 50 scale check provides directional corroboration; scale-dependence reported as a finding if it appears.</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API cost (revised in v2.4)</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 longer a guess: the prompts are metered and the grid is priced (§5.9). Batch endpoints and prompt caching, not response caching, which measurement showed buys nothing here. The controlling decision is scheduling the extended-thinking arm for the main grid and one high-power rerun rather than for every rerun — US$1,866 against US$16,038. If the budget still binds, the pre-declared ladder drops the thinking arm first, then the mid rung of the capability ladder, and protects H1 and H3 power last.</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Results that cannot be replayed</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Realised in v2.3 and invisible for the whole of it: episode seeds came from a per-process-salted hash, so no archived run could be reproduced and the validation triad was comparing different random draws. Fixed in §5.9 with a stable digest, a test pinning the value against a literal, and a test that runs a grid twice and asserts the outcomes match. The general lesson is now standing policy: any property the manifest asserts must be enforced by a test, because a false assertion in a manifest is worse than no assertion.</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13. Collaboration Plan and Follow-On Project</w:t>
      </w:r>
    </w:p>
    <w:p>
      <w:pPr>
        <w:spacing w:after="140" w:line="276"/>
      </w:pPr>
      <w:r>
        <w:t xml:space="preserve">The candidate carries out implementation, experiments, analysis, and the first manuscript draft, and serves as first author. Prof. Jin is proposed as senior and advising author, providing research direction, methodological review at the Week-8 and Week-12 gates, and manuscript revision. Proposed cadence: a biweekly 30-minute check-in, asynchronous-friendly across time zones, with a shared GitHub repository and this document maintained as a living plan with monthly milestone notes. All compute is self-funded; no lab funding is required for this first paper.</w:t>
      </w:r>
    </w:p>
    <w:p>
      <w:pPr>
        <w:spacing w:after="140" w:line="276"/>
      </w:pPr>
      <w:r>
        <w:rPr>
          <w:rFonts w:ascii="Calibri" w:cs="Calibri" w:eastAsia="Calibri" w:hAnsi="Calibri"/>
          <w:b/>
          <w:bCs/>
          <w:color w:val="1A1A1A"/>
          <w:sz w:val="21"/>
          <w:szCs w:val="21"/>
        </w:rPr>
        <w:t xml:space="preserve">Follow-on project (proposed second paper). </w:t>
      </w:r>
      <w:r>
        <w:rPr>
          <w:rFonts w:ascii="Calibri" w:cs="Calibri" w:eastAsia="Calibri" w:hAnsi="Calibri"/>
          <w:color w:val="1A1A1A"/>
          <w:sz w:val="21"/>
          <w:szCs w:val="21"/>
        </w:rPr>
        <w:t xml:space="preserve">The natural extension makes the institution itself endogenous. Rather than stipulating an intervener, citizens vote each round on whether a corrector should exist and who bears its cost — an institutional-choice design in the spirit of the migration experiments in human public-goods research, and a direct application of contracting and mediation mechanisms to information governance. The question becomes whether an LLM society will voluntarily institute costly correction, and under which incentive ratios it abandons it. That builds directly on the NudgeSim engine and requires no new data collection.</w:t>
      </w:r>
    </w:p>
    <w:p>
      <w:pPr>
        <w:pStyle w:val="Heading1"/>
        <w:pBdr>
          <w:bottom w:val="single" w:color="C9D6E4" w:sz="6" w:space="6"/>
        </w:pBdr>
        <w:spacing w:after="160" w:before="360"/>
      </w:pPr>
      <w:r>
        <w:rPr>
          <w:rFonts w:ascii="Calibri" w:cs="Calibri" w:eastAsia="Calibri" w:hAnsi="Calibri"/>
          <w:b/>
          <w:bCs/>
          <w:color w:val="1F4E79"/>
          <w:sz w:val="32"/>
          <w:szCs w:val="32"/>
        </w:rPr>
        <w:t xml:space="preserve">14. References</w:t>
      </w:r>
    </w:p>
    <w:p>
      <w:pPr>
        <w:spacing w:after="70" w:line="250"/>
        <w:ind w:left="340" w:hanging="340"/>
      </w:pPr>
      <w:r>
        <w:rPr>
          <w:rFonts w:ascii="Calibri" w:cs="Calibri" w:eastAsia="Calibri" w:hAnsi="Calibri"/>
          <w:color w:val="1A1A1A"/>
          <w:sz w:val="19"/>
          <w:szCs w:val="19"/>
        </w:rPr>
        <w:t xml:space="preserve">Bail, C. A., et al. (2018). Exposure to opposing views on social media can increase political polarization. PNAS, 115(37).</w:t>
      </w:r>
    </w:p>
    <w:p>
      <w:pPr>
        <w:spacing w:after="70" w:line="250"/>
        <w:ind w:left="340" w:hanging="340"/>
      </w:pPr>
      <w:r>
        <w:rPr>
          <w:rFonts w:ascii="Calibri" w:cs="Calibri" w:eastAsia="Calibri" w:hAnsi="Calibri"/>
          <w:color w:val="1A1A1A"/>
          <w:sz w:val="19"/>
          <w:szCs w:val="19"/>
        </w:rPr>
        <w:t xml:space="preserve">Backmann, S., et al. &amp; Jin, Z. (2025). When Ethics and Payoffs Diverge: LLM Agents in Morally Charged Social Dilemmas. arXiv:2505.19212. [MoralSim]</w:t>
      </w:r>
    </w:p>
    <w:p>
      <w:pPr>
        <w:spacing w:after="70" w:line="250"/>
        <w:ind w:left="340" w:hanging="340"/>
      </w:pPr>
      <w:r>
        <w:rPr>
          <w:rFonts w:ascii="Calibri" w:cs="Calibri" w:eastAsia="Calibri" w:hAnsi="Calibri"/>
          <w:color w:val="1A1A1A"/>
          <w:sz w:val="19"/>
          <w:szCs w:val="19"/>
        </w:rPr>
        <w:t xml:space="preserve">Bowles, S. (2008). Policies designed for self-interested citizens may undermine "the moral sentiments". Science, 320(5883).</w:t>
      </w:r>
    </w:p>
    <w:p>
      <w:pPr>
        <w:spacing w:after="70" w:line="250"/>
        <w:ind w:left="340" w:hanging="340"/>
      </w:pPr>
      <w:r>
        <w:rPr>
          <w:rFonts w:ascii="Calibri" w:cs="Calibri" w:eastAsia="Calibri" w:hAnsi="Calibri"/>
          <w:color w:val="1A1A1A"/>
          <w:sz w:val="19"/>
          <w:szCs w:val="19"/>
        </w:rPr>
        <w:t xml:space="preserve">Chuang, Y.-S., et al. (2024). Simulating Opinion Dynamics with Networks of LLM-based Agents. Findings of NAACL 2024.</w:t>
      </w:r>
    </w:p>
    <w:p>
      <w:pPr>
        <w:spacing w:after="70" w:line="250"/>
        <w:ind w:left="340" w:hanging="340"/>
      </w:pPr>
      <w:r>
        <w:rPr>
          <w:rFonts w:ascii="Calibri" w:cs="Calibri" w:eastAsia="Calibri" w:hAnsi="Calibri"/>
          <w:color w:val="1A1A1A"/>
          <w:sz w:val="19"/>
          <w:szCs w:val="19"/>
        </w:rPr>
        <w:t xml:space="preserve">Costello, T. H., Pennycook, G., &amp; Rand, D. G. (2024). Durably reducing conspiracy beliefs through dialogues with AI. Science, 385(6714). [Cited as motivation; an Editorial Expression of Concern regarding screening-criteria and dataset inconsistencies was issued in 2026, with the authors reporting that a corrected pipeline preserves the direction and magnitude of the effect. Treated here as suggestive rather than settled.]</w:t>
      </w:r>
    </w:p>
    <w:p>
      <w:pPr>
        <w:spacing w:after="70" w:line="250"/>
        <w:ind w:left="340" w:hanging="340"/>
      </w:pPr>
      <w:r>
        <w:rPr>
          <w:rFonts w:ascii="Calibri" w:cs="Calibri" w:eastAsia="Calibri" w:hAnsi="Calibri"/>
          <w:color w:val="1A1A1A"/>
          <w:sz w:val="19"/>
          <w:szCs w:val="19"/>
        </w:rPr>
        <w:t xml:space="preserve">Fehr, E., &amp; Gächter, S. (2002). Altruistic punishment in humans. Nature, 415.</w:t>
      </w:r>
    </w:p>
    <w:p>
      <w:pPr>
        <w:spacing w:after="70" w:line="250"/>
        <w:ind w:left="340" w:hanging="340"/>
      </w:pPr>
      <w:r>
        <w:rPr>
          <w:rFonts w:ascii="Calibri" w:cs="Calibri" w:eastAsia="Calibri" w:hAnsi="Calibri"/>
          <w:color w:val="1A1A1A"/>
          <w:sz w:val="19"/>
          <w:szCs w:val="19"/>
        </w:rPr>
        <w:t xml:space="preserve">Fehr, E., &amp; Rockenbach, B. (2003). Detrimental effects of sanctions on human altruism. Nature, 422.</w:t>
      </w:r>
    </w:p>
    <w:p>
      <w:pPr>
        <w:spacing w:after="70" w:line="250"/>
        <w:ind w:left="340" w:hanging="340"/>
      </w:pPr>
      <w:r>
        <w:rPr>
          <w:rFonts w:ascii="Calibri" w:cs="Calibri" w:eastAsia="Calibri" w:hAnsi="Calibri"/>
          <w:color w:val="1A1A1A"/>
          <w:sz w:val="19"/>
          <w:szCs w:val="19"/>
        </w:rPr>
        <w:t xml:space="preserve">Gilardi, F., Alizadeh, M., &amp; Kubli, M. (2023). ChatGPT outperforms crowd workers for text-annotation tasks. PNAS, 120(30).</w:t>
      </w:r>
    </w:p>
    <w:p>
      <w:pPr>
        <w:spacing w:after="70" w:line="250"/>
        <w:ind w:left="340" w:hanging="340"/>
      </w:pPr>
      <w:r>
        <w:rPr>
          <w:rFonts w:ascii="Calibri" w:cs="Calibri" w:eastAsia="Calibri" w:hAnsi="Calibri"/>
          <w:color w:val="1A1A1A"/>
          <w:sz w:val="19"/>
          <w:szCs w:val="19"/>
        </w:rPr>
        <w:t xml:space="preserve">Gürerk, Ö., Irlenbusch, B., &amp; Rockenbach, B. (2006). The competitive advantage of sanctioning institutions. Science, 312(5770).</w:t>
      </w:r>
    </w:p>
    <w:p>
      <w:pPr>
        <w:spacing w:after="70" w:line="250"/>
        <w:ind w:left="340" w:hanging="340"/>
      </w:pPr>
      <w:r>
        <w:rPr>
          <w:rFonts w:ascii="Calibri" w:cs="Calibri" w:eastAsia="Calibri" w:hAnsi="Calibri"/>
          <w:color w:val="1A1A1A"/>
          <w:sz w:val="19"/>
          <w:szCs w:val="19"/>
        </w:rPr>
        <w:t xml:space="preserve">Kochkina, E., Liakata, M., &amp; Zubiaga, A. (2018). All-in-one: Multi-task Learning for Rumour Verification. COLING 2018. [PHEME-9: figshare 10.6084/m9.figshare.6392078]</w:t>
      </w:r>
    </w:p>
    <w:p>
      <w:pPr>
        <w:spacing w:after="70" w:line="250"/>
        <w:ind w:left="340" w:hanging="340"/>
      </w:pPr>
      <w:r>
        <w:rPr>
          <w:rFonts w:ascii="Calibri" w:cs="Calibri" w:eastAsia="Calibri" w:hAnsi="Calibri"/>
          <w:color w:val="1A1A1A"/>
          <w:sz w:val="19"/>
          <w:szCs w:val="19"/>
        </w:rPr>
        <w:t xml:space="preserve">Lewandowsky, S., et al. (2020). The Debunking Handbook 2020.</w:t>
      </w:r>
    </w:p>
    <w:p>
      <w:pPr>
        <w:spacing w:after="70" w:line="250"/>
        <w:ind w:left="340" w:hanging="340"/>
      </w:pPr>
      <w:r>
        <w:rPr>
          <w:rFonts w:ascii="Calibri" w:cs="Calibri" w:eastAsia="Calibri" w:hAnsi="Calibri"/>
          <w:color w:val="1A1A1A"/>
          <w:sz w:val="19"/>
          <w:szCs w:val="19"/>
        </w:rPr>
        <w:t xml:space="preserve">Nyhan, B., &amp; Reifler, J. (2010). When Corrections Fail. Political Behavior, 32.</w:t>
      </w:r>
    </w:p>
    <w:p>
      <w:pPr>
        <w:spacing w:after="70" w:line="250"/>
        <w:ind w:left="340" w:hanging="340"/>
      </w:pPr>
      <w:r>
        <w:rPr>
          <w:rFonts w:ascii="Calibri" w:cs="Calibri" w:eastAsia="Calibri" w:hAnsi="Calibri"/>
          <w:color w:val="1A1A1A"/>
          <w:sz w:val="19"/>
          <w:szCs w:val="19"/>
        </w:rPr>
        <w:t xml:space="preserve">Park, J. S., et al. (2023). Generative Agents: Interactive Simulacra of Human Behavior. UIST 2023.</w:t>
      </w:r>
    </w:p>
    <w:p>
      <w:pPr>
        <w:spacing w:after="70" w:line="250"/>
        <w:ind w:left="340" w:hanging="340"/>
      </w:pPr>
      <w:r>
        <w:rPr>
          <w:rFonts w:ascii="Calibri" w:cs="Calibri" w:eastAsia="Calibri" w:hAnsi="Calibri"/>
          <w:color w:val="1A1A1A"/>
          <w:sz w:val="19"/>
          <w:szCs w:val="19"/>
        </w:rPr>
        <w:t xml:space="preserve">Pennycook, G., et al. (2021). Shifting attention to accuracy can reduce misinformation online. Nature, 592.</w:t>
      </w:r>
    </w:p>
    <w:p>
      <w:pPr>
        <w:spacing w:after="70" w:line="250"/>
        <w:ind w:left="340" w:hanging="340"/>
      </w:pPr>
      <w:r>
        <w:rPr>
          <w:rFonts w:ascii="Calibri" w:cs="Calibri" w:eastAsia="Calibri" w:hAnsi="Calibri"/>
          <w:color w:val="1A1A1A"/>
          <w:sz w:val="19"/>
          <w:szCs w:val="19"/>
        </w:rPr>
        <w:t xml:space="preserve">Piatti, G., Jin, Z., et al. (2024). Cooperate or Collapse: Emergence of Sustainable Cooperation in a Society of LLM Agents. NeurIPS 2024. arXiv:2404.16698. [GovSim]</w:t>
      </w:r>
    </w:p>
    <w:p>
      <w:pPr>
        <w:spacing w:after="70" w:line="250"/>
        <w:ind w:left="340" w:hanging="340"/>
      </w:pPr>
      <w:r>
        <w:rPr>
          <w:rFonts w:ascii="Calibri" w:cs="Calibri" w:eastAsia="Calibri" w:hAnsi="Calibri"/>
          <w:color w:val="1A1A1A"/>
          <w:sz w:val="19"/>
          <w:szCs w:val="19"/>
        </w:rPr>
        <w:t xml:space="preserve">Piedrahita, D., et al. &amp; Jin, Z. (2025). Corrupted by Reasoning: Reasoning Language Models Become Free-Riders in Public Goods Games. COLM 2025. [SanctSim]</w:t>
      </w:r>
    </w:p>
    <w:p>
      <w:pPr>
        <w:spacing w:after="70" w:line="250"/>
        <w:ind w:left="340" w:hanging="340"/>
      </w:pPr>
      <w:r>
        <w:rPr>
          <w:rFonts w:ascii="Calibri" w:cs="Calibri" w:eastAsia="Calibri" w:hAnsi="Calibri"/>
          <w:color w:val="1A1A1A"/>
          <w:sz w:val="19"/>
          <w:szCs w:val="19"/>
        </w:rPr>
        <w:t xml:space="preserve">Qiao, B., Li, K., Zhou, W., &amp; Hu, S. (2025). Dynamic Simulation Framework for Disinformation Dissemination and Correction With Social Bots. Findings of EMNLP 2025. arXiv:2507.16848. [MADD]</w:t>
      </w:r>
    </w:p>
    <w:p>
      <w:pPr>
        <w:spacing w:after="70" w:line="250"/>
        <w:ind w:left="340" w:hanging="340"/>
      </w:pPr>
      <w:r>
        <w:rPr>
          <w:rFonts w:ascii="Calibri" w:cs="Calibri" w:eastAsia="Calibri" w:hAnsi="Calibri"/>
          <w:color w:val="1A1A1A"/>
          <w:sz w:val="19"/>
          <w:szCs w:val="19"/>
        </w:rPr>
        <w:t xml:space="preserve">Roozenbeek, J., &amp; van der Linden, S. (2019). Fake news game confers psychological resistance against online misinformation. Palgrave Communications, 5.</w:t>
      </w:r>
    </w:p>
    <w:p>
      <w:pPr>
        <w:spacing w:after="70" w:line="250"/>
        <w:ind w:left="340" w:hanging="340"/>
      </w:pPr>
      <w:r>
        <w:rPr>
          <w:rFonts w:ascii="Calibri" w:cs="Calibri" w:eastAsia="Calibri" w:hAnsi="Calibri"/>
          <w:color w:val="1A1A1A"/>
          <w:sz w:val="19"/>
          <w:szCs w:val="19"/>
        </w:rPr>
        <w:t xml:space="preserve">Tewolde, E., Zhang, X., Piedrahita, D., Conitzer, V., &amp; Jin, Z. (2026). CoopEval: Benchmarking Cooperation-Sustaining Mechanisms and LLM Agents in Social Dilemmas. ICML 2026. arXiv:2604.15267.</w:t>
      </w:r>
    </w:p>
    <w:p>
      <w:pPr>
        <w:spacing w:after="70" w:line="250"/>
        <w:ind w:left="340" w:hanging="340"/>
      </w:pPr>
      <w:r>
        <w:rPr>
          <w:rFonts w:ascii="Calibri" w:cs="Calibri" w:eastAsia="Calibri" w:hAnsi="Calibri"/>
          <w:color w:val="1A1A1A"/>
          <w:sz w:val="19"/>
          <w:szCs w:val="19"/>
        </w:rPr>
        <w:t xml:space="preserve">Törnberg, P., Valeeva, D., Uitermark, J., &amp; Bail, C. (2023). Simulating Social Media Using Large Language Models to Evaluate Alternative News Feed Algorithms. arXiv preprint.</w:t>
      </w:r>
    </w:p>
    <w:p>
      <w:pPr>
        <w:spacing w:after="70" w:line="250"/>
        <w:ind w:left="340" w:hanging="340"/>
      </w:pPr>
      <w:r>
        <w:rPr>
          <w:rFonts w:ascii="Calibri" w:cs="Calibri" w:eastAsia="Calibri" w:hAnsi="Calibri"/>
          <w:color w:val="1A1A1A"/>
          <w:sz w:val="19"/>
          <w:szCs w:val="19"/>
        </w:rPr>
        <w:t xml:space="preserve">Vosoughi, S., Roy, D., &amp; Aral, S. (2018). The spread of true and false news online. Science, 359(6380).</w:t>
      </w:r>
    </w:p>
    <w:p>
      <w:pPr>
        <w:spacing w:after="70" w:line="250"/>
        <w:ind w:left="340" w:hanging="340"/>
      </w:pPr>
      <w:r>
        <w:rPr>
          <w:rFonts w:ascii="Calibri" w:cs="Calibri" w:eastAsia="Calibri" w:hAnsi="Calibri"/>
          <w:color w:val="1A1A1A"/>
          <w:sz w:val="19"/>
          <w:szCs w:val="19"/>
        </w:rPr>
        <w:t xml:space="preserve">Wang, W. Y. (2017). "Liar, Liar Pants on Fire": A New Benchmark Dataset for Fake News Detection. ACL 2017. arXiv:1705.00648.</w:t>
      </w:r>
    </w:p>
    <w:p>
      <w:pPr>
        <w:spacing w:after="70" w:line="250"/>
        <w:ind w:left="340" w:hanging="340"/>
      </w:pPr>
      <w:r>
        <w:rPr>
          <w:rFonts w:ascii="Calibri" w:cs="Calibri" w:eastAsia="Calibri" w:hAnsi="Calibri"/>
          <w:color w:val="1A1A1A"/>
          <w:sz w:val="19"/>
          <w:szCs w:val="19"/>
        </w:rPr>
        <w:t xml:space="preserve">Wood, T., &amp; Porter, E. (2019). The Elusive Backfire Effect. Political Behavior, 41.</w:t>
      </w:r>
    </w:p>
    <w:p>
      <w:pPr>
        <w:spacing w:after="70" w:line="250"/>
        <w:ind w:left="340" w:hanging="340"/>
      </w:pPr>
      <w:r>
        <w:rPr>
          <w:rFonts w:ascii="Calibri" w:cs="Calibri" w:eastAsia="Calibri" w:hAnsi="Calibri"/>
          <w:color w:val="1A1A1A"/>
          <w:sz w:val="19"/>
          <w:szCs w:val="19"/>
        </w:rPr>
        <w:t xml:space="preserve">Yang, Z., et al. (2024). OASIS: Open Agent Social Interaction Simulations with One Million Agents. arXiv:2411.11581.</w:t>
      </w:r>
    </w:p>
    <w:p>
      <w:pPr>
        <w:spacing w:after="70" w:line="250"/>
        <w:ind w:left="340" w:hanging="340"/>
      </w:pPr>
      <w:r>
        <w:rPr>
          <w:rFonts w:ascii="Calibri" w:cs="Calibri" w:eastAsia="Calibri" w:hAnsi="Calibri"/>
          <w:color w:val="1A1A1A"/>
          <w:sz w:val="19"/>
          <w:szCs w:val="19"/>
        </w:rPr>
        <w:t xml:space="preserve">Zubiaga, A., et al. (2016). Analysing How People Orient to and Spread Rumours in Social Media by Looking at Conversational Threads. PLOS ONE, 11(3).</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NudgeSim Project Plan · v2.5 · September 2026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2026-09-12T04:51:43.997Z</dcterms:created>
  <dcterms:modified xsi:type="dcterms:W3CDTF">2026-09-12T04:51:43.999Z</dcterms:modified>
</cp:coreProperties>
</file>

<file path=docProps/custom.xml><?xml version="1.0" encoding="utf-8"?>
<Properties xmlns="http://schemas.openxmlformats.org/officeDocument/2006/custom-properties" xmlns:vt="http://schemas.openxmlformats.org/officeDocument/2006/docPropsVTypes"/>
</file>