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0051C" w14:textId="77777777" w:rsidR="009019AB" w:rsidRPr="00676520" w:rsidRDefault="009019AB" w:rsidP="009019AB">
      <w:pPr>
        <w:spacing w:after="0" w:line="240" w:lineRule="auto"/>
        <w:jc w:val="center"/>
      </w:pPr>
      <w:r w:rsidRPr="00676520">
        <w:t>Summer MGMT 59000: AI-Assisted Big Data Analytics in the Cloud</w:t>
      </w:r>
      <w:r>
        <w:t xml:space="preserve"> </w:t>
      </w:r>
      <w:r>
        <w:sym w:font="Symbol" w:char="F02A"/>
      </w:r>
      <w:r>
        <w:t xml:space="preserve"> </w:t>
      </w:r>
      <w:r w:rsidRPr="00676520">
        <w:t xml:space="preserve">Group: </w:t>
      </w:r>
      <w:r w:rsidRPr="00676520">
        <w:rPr>
          <w:b/>
          <w:bCs/>
        </w:rPr>
        <w:t>DN3</w:t>
      </w:r>
    </w:p>
    <w:p w14:paraId="7E40EDDE" w14:textId="77777777" w:rsidR="009019AB" w:rsidRPr="00676520" w:rsidRDefault="009019AB" w:rsidP="009019AB">
      <w:pPr>
        <w:spacing w:after="0" w:line="240" w:lineRule="auto"/>
        <w:jc w:val="center"/>
      </w:pPr>
      <w:r w:rsidRPr="00676520">
        <w:rPr>
          <w:b/>
          <w:bCs/>
        </w:rPr>
        <w:t>Assignment 1: Team Collaborative Analysis</w:t>
      </w:r>
      <w:r w:rsidRPr="00676520">
        <w:t xml:space="preserve"> </w:t>
      </w:r>
      <w:r w:rsidRPr="00676520">
        <w:br/>
        <w:t>Using Cloud Data Lakes for Business Intelligence</w:t>
      </w:r>
    </w:p>
    <w:p w14:paraId="1BF250AA" w14:textId="77777777" w:rsidR="009019AB" w:rsidRDefault="009019AB" w:rsidP="009019AB">
      <w:pPr>
        <w:pStyle w:val="Author"/>
        <w:pBdr>
          <w:bottom w:val="none" w:sz="0" w:space="0" w:color="auto"/>
        </w:pBdr>
      </w:pPr>
    </w:p>
    <w:p w14:paraId="3A0D5CB4" w14:textId="4D41C33D" w:rsidR="009019AB" w:rsidRPr="00676520" w:rsidRDefault="009019AB" w:rsidP="009019AB">
      <w:pPr>
        <w:pStyle w:val="Author"/>
        <w:pBdr>
          <w:bottom w:val="none" w:sz="0" w:space="0" w:color="auto"/>
        </w:pBdr>
      </w:pPr>
      <w:r w:rsidRPr="009019AB">
        <w:rPr>
          <w:u w:val="single"/>
        </w:rPr>
        <w:t>Authors:</w:t>
      </w:r>
      <w:r>
        <w:t xml:space="preserve"> </w:t>
      </w:r>
      <w:r w:rsidRPr="00676520">
        <w:t xml:space="preserve">James </w:t>
      </w:r>
      <w:proofErr w:type="spellStart"/>
      <w:r w:rsidRPr="00676520">
        <w:t>Fazecas</w:t>
      </w:r>
      <w:proofErr w:type="spellEnd"/>
      <w:r w:rsidRPr="00676520">
        <w:t xml:space="preserve">, </w:t>
      </w:r>
      <w:proofErr w:type="spellStart"/>
      <w:r w:rsidRPr="00676520">
        <w:t>Yuxiao</w:t>
      </w:r>
      <w:proofErr w:type="spellEnd"/>
      <w:r w:rsidRPr="00676520">
        <w:t xml:space="preserve"> Wang, Kyasha Williams, Michael Yudanin</w:t>
      </w:r>
    </w:p>
    <w:p w14:paraId="5F075C3D" w14:textId="4FC379D7" w:rsidR="00676520" w:rsidRPr="00676520" w:rsidRDefault="00BB2485" w:rsidP="009019AB">
      <w:pPr>
        <w:pStyle w:val="Head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BB2485">
        <w:t>Strategic</w:t>
      </w:r>
      <w:r>
        <w:t xml:space="preserve"> </w:t>
      </w:r>
      <w:r w:rsidRPr="00BB2485">
        <w:t>Recommendations</w:t>
      </w:r>
    </w:p>
    <w:p w14:paraId="502C3732" w14:textId="77777777" w:rsidR="008F39E5" w:rsidRPr="00F125C0" w:rsidRDefault="008F39E5" w:rsidP="00F125C0">
      <w:pPr>
        <w:pStyle w:val="Heading1"/>
      </w:pPr>
      <w:r w:rsidRPr="00F125C0">
        <w:t>Five Specific, Actionable Recommendations</w:t>
      </w:r>
    </w:p>
    <w:p w14:paraId="4B4E5134" w14:textId="0C98DD99" w:rsidR="008F39E5" w:rsidRPr="00F125C0" w:rsidRDefault="008F39E5" w:rsidP="00F125C0">
      <w:pPr>
        <w:pStyle w:val="Heading2"/>
        <w:rPr>
          <w:color w:val="762618" w:themeColor="accent4" w:themeShade="80"/>
        </w:rPr>
      </w:pPr>
      <w:r w:rsidRPr="00F125C0">
        <w:rPr>
          <w:color w:val="762618" w:themeColor="accent4" w:themeShade="80"/>
        </w:rPr>
        <w:t>1. Implement Regional Pricing Strategy</w:t>
      </w:r>
    </w:p>
    <w:p w14:paraId="168E2224" w14:textId="77777777" w:rsidR="008F39E5" w:rsidRPr="009019AB" w:rsidRDefault="008F39E5" w:rsidP="009019AB">
      <w:r w:rsidRPr="009019AB">
        <w:t>Deploy region-specific pricing models that reduce discounting in underperforming markets while maintaining competitive pricing in high-value regions. Eliminate aggressive discounting on Tables and Bookcases; instead, focus on margin preservation through value-based pricing.</w:t>
      </w:r>
    </w:p>
    <w:p w14:paraId="65C08848" w14:textId="77777777" w:rsidR="008F39E5" w:rsidRDefault="008F39E5" w:rsidP="00F125C0">
      <w:pPr>
        <w:pStyle w:val="Heading2"/>
        <w:rPr>
          <w:color w:val="762618" w:themeColor="accent4" w:themeShade="80"/>
        </w:rPr>
      </w:pPr>
      <w:r>
        <w:rPr>
          <w:color w:val="762618" w:themeColor="accent4" w:themeShade="80"/>
        </w:rPr>
        <w:t>2. Concentrate Investment in High-ROI Geographic Markets</w:t>
      </w:r>
    </w:p>
    <w:p w14:paraId="26391DC1" w14:textId="77777777" w:rsidR="008F39E5" w:rsidRDefault="008F39E5" w:rsidP="009019AB">
      <w:r>
        <w:t>Reallocate marketing budget and inventory investment to prioritize West and East regions, specifically targeting cities identified as high-impact drivers. Reduce expansion investments in Central and South regions until profitability improves.</w:t>
      </w:r>
    </w:p>
    <w:p w14:paraId="783748A8" w14:textId="016FE480" w:rsidR="008F39E5" w:rsidRDefault="008F39E5" w:rsidP="00F125C0">
      <w:pPr>
        <w:pStyle w:val="Heading2"/>
        <w:rPr>
          <w:color w:val="762618" w:themeColor="accent4" w:themeShade="80"/>
        </w:rPr>
      </w:pPr>
      <w:r>
        <w:rPr>
          <w:color w:val="762618" w:themeColor="accent4" w:themeShade="80"/>
        </w:rPr>
        <w:t xml:space="preserve">3. Develop </w:t>
      </w:r>
      <w:r w:rsidR="00F125C0">
        <w:rPr>
          <w:color w:val="762618" w:themeColor="accent4" w:themeShade="80"/>
        </w:rPr>
        <w:t xml:space="preserve">a </w:t>
      </w:r>
      <w:r>
        <w:rPr>
          <w:color w:val="762618" w:themeColor="accent4" w:themeShade="80"/>
        </w:rPr>
        <w:t>Champion Customer Retention Program</w:t>
      </w:r>
    </w:p>
    <w:p w14:paraId="7BEB432C" w14:textId="77777777" w:rsidR="008F39E5" w:rsidRDefault="008F39E5" w:rsidP="009019AB">
      <w:r>
        <w:t>Create a comprehensive retention strategy for Champion customers, including dedicated account management, priority shipping, and exclusive product access. Implement predictive analytics to identify potential Champions among Loyal Customers and Potential Loyalists.</w:t>
      </w:r>
    </w:p>
    <w:p w14:paraId="0B7CEFA4" w14:textId="28990654" w:rsidR="008F39E5" w:rsidRDefault="008F39E5" w:rsidP="00F125C0">
      <w:pPr>
        <w:pStyle w:val="Heading2"/>
        <w:rPr>
          <w:color w:val="762618" w:themeColor="accent4" w:themeShade="80"/>
        </w:rPr>
      </w:pPr>
      <w:r>
        <w:rPr>
          <w:color w:val="762618" w:themeColor="accent4" w:themeShade="80"/>
        </w:rPr>
        <w:t xml:space="preserve">4. Optimize Product </w:t>
      </w:r>
      <w:r w:rsidR="00F125C0">
        <w:rPr>
          <w:color w:val="762618" w:themeColor="accent4" w:themeShade="80"/>
        </w:rPr>
        <w:t xml:space="preserve">and Brand </w:t>
      </w:r>
      <w:r>
        <w:rPr>
          <w:color w:val="762618" w:themeColor="accent4" w:themeShade="80"/>
        </w:rPr>
        <w:t>Portfolio for Profitability</w:t>
      </w:r>
    </w:p>
    <w:p w14:paraId="53021568" w14:textId="30CFEBD1" w:rsidR="008F39E5" w:rsidRDefault="008F39E5" w:rsidP="009019AB">
      <w:r>
        <w:t xml:space="preserve">Discontinue or significantly restructure unprofitable subcategories (Tables, Bookcases) while expanding high-margin categories (Copiers, Phones). </w:t>
      </w:r>
      <w:r w:rsidR="00F125C0">
        <w:t xml:space="preserve">Prioritize high-performing manufacturers. </w:t>
      </w:r>
      <w:r>
        <w:t>Renegotiate supplier agreements for manufacturer partners showing strong profit performance.</w:t>
      </w:r>
    </w:p>
    <w:p w14:paraId="11FC24C7" w14:textId="77777777" w:rsidR="008F39E5" w:rsidRDefault="008F39E5" w:rsidP="00F125C0">
      <w:pPr>
        <w:pStyle w:val="Heading2"/>
        <w:keepNext/>
        <w:rPr>
          <w:color w:val="762618" w:themeColor="accent4" w:themeShade="80"/>
        </w:rPr>
      </w:pPr>
      <w:r>
        <w:rPr>
          <w:color w:val="762618" w:themeColor="accent4" w:themeShade="80"/>
        </w:rPr>
        <w:lastRenderedPageBreak/>
        <w:t>5. Establish Profit-Centric Performance Metrics</w:t>
      </w:r>
    </w:p>
    <w:p w14:paraId="111BB2A6" w14:textId="77777777" w:rsidR="008F39E5" w:rsidRDefault="008F39E5" w:rsidP="009019AB">
      <w:r>
        <w:t>Replace sales volume KPIs with profit-per-transaction metrics across all functional areas. Implement monthly profit margin tracking by region, product category, and customer segment to prevent future profit erosion.</w:t>
      </w:r>
    </w:p>
    <w:p w14:paraId="6EA1414D" w14:textId="77777777" w:rsidR="008F39E5" w:rsidRDefault="008F39E5" w:rsidP="00F125C0">
      <w:pPr>
        <w:pStyle w:val="Heading1"/>
      </w:pPr>
      <w:r>
        <w:t>Implementation Timeline</w:t>
      </w:r>
    </w:p>
    <w:p w14:paraId="3B530D40" w14:textId="77777777" w:rsidR="008F39E5" w:rsidRPr="00F125C0" w:rsidRDefault="008F39E5" w:rsidP="00F125C0">
      <w:pPr>
        <w:pStyle w:val="Heading2"/>
        <w:rPr>
          <w:color w:val="762618" w:themeColor="accent4" w:themeShade="80"/>
        </w:rPr>
      </w:pPr>
      <w:r w:rsidRPr="00F125C0">
        <w:rPr>
          <w:color w:val="762618" w:themeColor="accent4" w:themeShade="80"/>
        </w:rPr>
        <w:t>30 Days: Foundation Phase</w:t>
      </w:r>
    </w:p>
    <w:p w14:paraId="5E7549E8" w14:textId="77777777" w:rsidR="008F39E5" w:rsidRDefault="008F39E5" w:rsidP="00F125C0">
      <w:pPr>
        <w:pStyle w:val="ListParagraph"/>
        <w:numPr>
          <w:ilvl w:val="0"/>
          <w:numId w:val="17"/>
        </w:numPr>
        <w:contextualSpacing w:val="0"/>
      </w:pPr>
      <w:r>
        <w:t>Implement new performance metrics focusing on profit per transaction</w:t>
      </w:r>
    </w:p>
    <w:p w14:paraId="54A12B36" w14:textId="77777777" w:rsidR="008F39E5" w:rsidRDefault="008F39E5" w:rsidP="00F125C0">
      <w:pPr>
        <w:pStyle w:val="ListParagraph"/>
        <w:numPr>
          <w:ilvl w:val="0"/>
          <w:numId w:val="17"/>
        </w:numPr>
        <w:contextualSpacing w:val="0"/>
      </w:pPr>
      <w:r>
        <w:t>Conduct regional pricing analysis and begin dynamic pricing rollout</w:t>
      </w:r>
    </w:p>
    <w:p w14:paraId="141CAF69" w14:textId="0696AC77" w:rsidR="008F39E5" w:rsidRDefault="008F39E5" w:rsidP="00F125C0">
      <w:pPr>
        <w:pStyle w:val="ListParagraph"/>
        <w:numPr>
          <w:ilvl w:val="0"/>
          <w:numId w:val="17"/>
        </w:numPr>
        <w:contextualSpacing w:val="0"/>
      </w:pPr>
      <w:r>
        <w:t xml:space="preserve">Identify and segment Champion customers for </w:t>
      </w:r>
      <w:r w:rsidR="00F125C0">
        <w:t xml:space="preserve">the </w:t>
      </w:r>
      <w:r>
        <w:t>retention program launch</w:t>
      </w:r>
    </w:p>
    <w:p w14:paraId="343E4FDC" w14:textId="5D6314E4" w:rsidR="008F39E5" w:rsidRDefault="008F39E5" w:rsidP="00F125C0">
      <w:pPr>
        <w:pStyle w:val="Heading2"/>
        <w:rPr>
          <w:color w:val="762618" w:themeColor="accent4" w:themeShade="80"/>
        </w:rPr>
      </w:pPr>
      <w:r>
        <w:rPr>
          <w:color w:val="762618" w:themeColor="accent4" w:themeShade="80"/>
        </w:rPr>
        <w:t>60 Days: Execution Phase</w:t>
      </w:r>
    </w:p>
    <w:p w14:paraId="558A7699" w14:textId="77777777" w:rsidR="008F39E5" w:rsidRDefault="008F39E5" w:rsidP="00F125C0">
      <w:pPr>
        <w:pStyle w:val="ListParagraph"/>
        <w:numPr>
          <w:ilvl w:val="0"/>
          <w:numId w:val="17"/>
        </w:numPr>
        <w:contextualSpacing w:val="0"/>
      </w:pPr>
      <w:r>
        <w:t>Launch Champion customer retention program with dedicated account management</w:t>
      </w:r>
    </w:p>
    <w:p w14:paraId="3BF4B6F4" w14:textId="77777777" w:rsidR="008F39E5" w:rsidRDefault="008F39E5" w:rsidP="00F125C0">
      <w:pPr>
        <w:pStyle w:val="ListParagraph"/>
        <w:numPr>
          <w:ilvl w:val="0"/>
          <w:numId w:val="17"/>
        </w:numPr>
        <w:contextualSpacing w:val="0"/>
      </w:pPr>
      <w:r>
        <w:t>Complete regional pricing strategy implementation</w:t>
      </w:r>
    </w:p>
    <w:p w14:paraId="361B93A5" w14:textId="77777777" w:rsidR="008F39E5" w:rsidRDefault="008F39E5" w:rsidP="00F125C0">
      <w:pPr>
        <w:pStyle w:val="ListParagraph"/>
        <w:numPr>
          <w:ilvl w:val="0"/>
          <w:numId w:val="17"/>
        </w:numPr>
        <w:contextualSpacing w:val="0"/>
      </w:pPr>
      <w:r>
        <w:t>Begin product portfolio restructuring, starting with highest-loss categories</w:t>
      </w:r>
    </w:p>
    <w:p w14:paraId="0EF62629" w14:textId="6B34210F" w:rsidR="008F39E5" w:rsidRDefault="008F39E5" w:rsidP="00F125C0">
      <w:pPr>
        <w:pStyle w:val="ListParagraph"/>
        <w:numPr>
          <w:ilvl w:val="0"/>
          <w:numId w:val="17"/>
        </w:numPr>
        <w:contextualSpacing w:val="0"/>
      </w:pPr>
      <w:r>
        <w:t>Reallocate marketing budget toward West/East regions</w:t>
      </w:r>
    </w:p>
    <w:p w14:paraId="11359219" w14:textId="0AE6E28D" w:rsidR="008F39E5" w:rsidRDefault="008F39E5" w:rsidP="00F125C0">
      <w:pPr>
        <w:pStyle w:val="Heading2"/>
        <w:rPr>
          <w:color w:val="762618" w:themeColor="accent4" w:themeShade="80"/>
        </w:rPr>
      </w:pPr>
      <w:r>
        <w:rPr>
          <w:color w:val="762618" w:themeColor="accent4" w:themeShade="80"/>
        </w:rPr>
        <w:t>90 Days: Optimization Phase</w:t>
      </w:r>
    </w:p>
    <w:p w14:paraId="4F3293EF" w14:textId="695155D5" w:rsidR="008F39E5" w:rsidRDefault="008F39E5" w:rsidP="00F125C0">
      <w:pPr>
        <w:pStyle w:val="ListParagraph"/>
        <w:numPr>
          <w:ilvl w:val="0"/>
          <w:numId w:val="17"/>
        </w:numPr>
        <w:contextualSpacing w:val="0"/>
      </w:pPr>
      <w:r>
        <w:t xml:space="preserve">Evaluate </w:t>
      </w:r>
      <w:r w:rsidR="00F125C0">
        <w:t xml:space="preserve">the </w:t>
      </w:r>
      <w:r>
        <w:t xml:space="preserve">effectiveness of </w:t>
      </w:r>
      <w:r w:rsidR="00F125C0">
        <w:t xml:space="preserve">the </w:t>
      </w:r>
      <w:r>
        <w:t>new pricing strategy and adjust based on results</w:t>
      </w:r>
    </w:p>
    <w:p w14:paraId="62622345" w14:textId="7056BF3E" w:rsidR="008F39E5" w:rsidRDefault="008F39E5" w:rsidP="00F125C0">
      <w:pPr>
        <w:pStyle w:val="ListParagraph"/>
        <w:numPr>
          <w:ilvl w:val="0"/>
          <w:numId w:val="17"/>
        </w:numPr>
        <w:contextualSpacing w:val="0"/>
      </w:pPr>
      <w:r>
        <w:t>Complete inventory optimization</w:t>
      </w:r>
      <w:r w:rsidR="00F125C0">
        <w:t>,</w:t>
      </w:r>
      <w:r>
        <w:t xml:space="preserve"> favoring high-margin products</w:t>
      </w:r>
    </w:p>
    <w:p w14:paraId="69EFFA09" w14:textId="77777777" w:rsidR="008F39E5" w:rsidRDefault="008F39E5" w:rsidP="00F125C0">
      <w:pPr>
        <w:pStyle w:val="ListParagraph"/>
        <w:numPr>
          <w:ilvl w:val="0"/>
          <w:numId w:val="17"/>
        </w:numPr>
        <w:contextualSpacing w:val="0"/>
      </w:pPr>
      <w:r>
        <w:t>Assess regional performance improvements and finalize long-term market strategy</w:t>
      </w:r>
    </w:p>
    <w:p w14:paraId="365821A8" w14:textId="77777777" w:rsidR="008F39E5" w:rsidRDefault="008F39E5" w:rsidP="00F125C0">
      <w:pPr>
        <w:pStyle w:val="ListParagraph"/>
        <w:numPr>
          <w:ilvl w:val="0"/>
          <w:numId w:val="17"/>
        </w:numPr>
        <w:contextualSpacing w:val="0"/>
      </w:pPr>
      <w:r>
        <w:t>Launch predictive analytics for customer value identification</w:t>
      </w:r>
    </w:p>
    <w:p w14:paraId="6E100391" w14:textId="77777777" w:rsidR="008F39E5" w:rsidRDefault="008F39E5" w:rsidP="009019AB"/>
    <w:p w14:paraId="7765D433" w14:textId="77777777" w:rsidR="008F39E5" w:rsidRDefault="008F39E5" w:rsidP="00F125C0">
      <w:pPr>
        <w:pStyle w:val="Heading1"/>
      </w:pPr>
      <w:r>
        <w:lastRenderedPageBreak/>
        <w:t>Success Metrics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85"/>
        <w:gridCol w:w="3183"/>
        <w:gridCol w:w="3184"/>
      </w:tblGrid>
      <w:tr w:rsidR="00F125C0" w14:paraId="2C70E158" w14:textId="77777777" w:rsidTr="00CE7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5" w:type="dxa"/>
          </w:tcPr>
          <w:p w14:paraId="38D38541" w14:textId="24198BE8" w:rsidR="00F125C0" w:rsidRDefault="00F125C0" w:rsidP="00CE7EE5">
            <w:pPr>
              <w:spacing w:before="120" w:after="120"/>
            </w:pPr>
            <w:r>
              <w:t>Recommendation</w:t>
            </w:r>
          </w:p>
        </w:tc>
        <w:tc>
          <w:tcPr>
            <w:tcW w:w="3183" w:type="dxa"/>
          </w:tcPr>
          <w:p w14:paraId="25ABE622" w14:textId="68DDEE2F" w:rsidR="00F125C0" w:rsidRDefault="00F125C0" w:rsidP="00CE7EE5">
            <w:pPr>
              <w:spacing w:before="120" w:after="120"/>
            </w:pPr>
            <w:r>
              <w:t>Success Metric</w:t>
            </w:r>
          </w:p>
        </w:tc>
        <w:tc>
          <w:tcPr>
            <w:tcW w:w="3184" w:type="dxa"/>
          </w:tcPr>
          <w:p w14:paraId="4EA85FD2" w14:textId="568788EB" w:rsidR="00F125C0" w:rsidRDefault="00F125C0" w:rsidP="00CE7EE5">
            <w:pPr>
              <w:spacing w:before="120" w:after="120"/>
            </w:pPr>
            <w:r>
              <w:t>Target</w:t>
            </w:r>
          </w:p>
        </w:tc>
      </w:tr>
      <w:tr w:rsidR="00F125C0" w14:paraId="533BC240" w14:textId="77777777" w:rsidTr="00CE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5" w:type="dxa"/>
          </w:tcPr>
          <w:p w14:paraId="0181AF96" w14:textId="6E7290F8" w:rsidR="00F125C0" w:rsidRDefault="00F125C0" w:rsidP="00CE7EE5">
            <w:pPr>
              <w:spacing w:before="120" w:after="120"/>
            </w:pPr>
            <w:r>
              <w:t>Regional Pricing</w:t>
            </w:r>
          </w:p>
        </w:tc>
        <w:tc>
          <w:tcPr>
            <w:tcW w:w="3183" w:type="dxa"/>
          </w:tcPr>
          <w:p w14:paraId="6739ACF6" w14:textId="42DB529B" w:rsidR="00F125C0" w:rsidRDefault="00F125C0" w:rsidP="00CE7EE5">
            <w:pPr>
              <w:spacing w:before="120" w:after="120"/>
            </w:pPr>
            <w:r>
              <w:t>Profit margin improvement by region</w:t>
            </w:r>
          </w:p>
        </w:tc>
        <w:tc>
          <w:tcPr>
            <w:tcW w:w="3184" w:type="dxa"/>
          </w:tcPr>
          <w:p w14:paraId="2AAD3E4C" w14:textId="72FCCC50" w:rsidR="00F125C0" w:rsidRDefault="00F125C0" w:rsidP="00CE7EE5">
            <w:pPr>
              <w:spacing w:before="120" w:after="120"/>
            </w:pPr>
            <w:r>
              <w:t>15% increase in Central/South margins</w:t>
            </w:r>
          </w:p>
        </w:tc>
      </w:tr>
      <w:tr w:rsidR="00F125C0" w14:paraId="2594AEAF" w14:textId="77777777" w:rsidTr="00CE7EE5">
        <w:tc>
          <w:tcPr>
            <w:tcW w:w="3185" w:type="dxa"/>
          </w:tcPr>
          <w:p w14:paraId="3697E685" w14:textId="67370841" w:rsidR="00F125C0" w:rsidRDefault="00F125C0" w:rsidP="00CE7EE5">
            <w:pPr>
              <w:spacing w:before="120" w:after="120"/>
            </w:pPr>
            <w:r>
              <w:t>Geographic Investment Focus</w:t>
            </w:r>
          </w:p>
        </w:tc>
        <w:tc>
          <w:tcPr>
            <w:tcW w:w="3183" w:type="dxa"/>
          </w:tcPr>
          <w:p w14:paraId="7C734AEA" w14:textId="454494BB" w:rsidR="00F125C0" w:rsidRDefault="00F125C0" w:rsidP="00CE7EE5">
            <w:pPr>
              <w:spacing w:before="120" w:after="120"/>
            </w:pPr>
            <w:r>
              <w:t>ROI on marketing spend</w:t>
            </w:r>
          </w:p>
        </w:tc>
        <w:tc>
          <w:tcPr>
            <w:tcW w:w="3184" w:type="dxa"/>
          </w:tcPr>
          <w:p w14:paraId="6E0DE199" w14:textId="730AB215" w:rsidR="00F125C0" w:rsidRDefault="00F125C0" w:rsidP="00CE7EE5">
            <w:pPr>
              <w:spacing w:before="120" w:after="120"/>
            </w:pPr>
            <w:r>
              <w:t>25% improvement in West/East market share</w:t>
            </w:r>
          </w:p>
        </w:tc>
      </w:tr>
      <w:tr w:rsidR="00F125C0" w14:paraId="1102AB30" w14:textId="77777777" w:rsidTr="00CE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5" w:type="dxa"/>
          </w:tcPr>
          <w:p w14:paraId="53FE2C0A" w14:textId="7C5EBBE6" w:rsidR="00F125C0" w:rsidRDefault="00F125C0" w:rsidP="00CE7EE5">
            <w:pPr>
              <w:spacing w:before="120" w:after="120"/>
            </w:pPr>
            <w:r>
              <w:t>Champion Retention Program</w:t>
            </w:r>
          </w:p>
        </w:tc>
        <w:tc>
          <w:tcPr>
            <w:tcW w:w="3183" w:type="dxa"/>
          </w:tcPr>
          <w:p w14:paraId="58EC6BE0" w14:textId="595B5286" w:rsidR="00F125C0" w:rsidRDefault="00F125C0" w:rsidP="00CE7EE5">
            <w:pPr>
              <w:spacing w:before="120" w:after="120"/>
            </w:pPr>
            <w:r>
              <w:t>Customer lifetime value retention</w:t>
            </w:r>
          </w:p>
        </w:tc>
        <w:tc>
          <w:tcPr>
            <w:tcW w:w="3184" w:type="dxa"/>
          </w:tcPr>
          <w:p w14:paraId="00F34DF7" w14:textId="1F79D525" w:rsidR="00F125C0" w:rsidRDefault="00F125C0" w:rsidP="00CE7EE5">
            <w:pPr>
              <w:spacing w:before="120" w:after="120"/>
            </w:pPr>
            <w:r>
              <w:t>90% Champion customer retention rate</w:t>
            </w:r>
          </w:p>
        </w:tc>
      </w:tr>
      <w:tr w:rsidR="00F125C0" w14:paraId="14AB9D80" w14:textId="77777777" w:rsidTr="00CE7EE5">
        <w:tc>
          <w:tcPr>
            <w:tcW w:w="3185" w:type="dxa"/>
          </w:tcPr>
          <w:p w14:paraId="2E6E1B98" w14:textId="1FF2A697" w:rsidR="00F125C0" w:rsidRDefault="00F125C0" w:rsidP="00CE7EE5">
            <w:pPr>
              <w:spacing w:before="120" w:after="120"/>
            </w:pPr>
            <w:r>
              <w:t>Product Portfolio Optimization</w:t>
            </w:r>
          </w:p>
        </w:tc>
        <w:tc>
          <w:tcPr>
            <w:tcW w:w="3183" w:type="dxa"/>
          </w:tcPr>
          <w:p w14:paraId="51255C50" w14:textId="3AEDA089" w:rsidR="00F125C0" w:rsidRDefault="00F125C0" w:rsidP="00CE7EE5">
            <w:pPr>
              <w:spacing w:before="120" w:after="120"/>
            </w:pPr>
            <w:r>
              <w:t>Category profitability</w:t>
            </w:r>
          </w:p>
        </w:tc>
        <w:tc>
          <w:tcPr>
            <w:tcW w:w="3184" w:type="dxa"/>
          </w:tcPr>
          <w:p w14:paraId="21535333" w14:textId="49346BA8" w:rsidR="00F125C0" w:rsidRDefault="00F125C0" w:rsidP="00CE7EE5">
            <w:pPr>
              <w:spacing w:before="120" w:after="120"/>
            </w:pPr>
            <w:r>
              <w:t>Eliminate negative-margin subcategories</w:t>
            </w:r>
          </w:p>
        </w:tc>
      </w:tr>
      <w:tr w:rsidR="00F125C0" w14:paraId="02C6CCB3" w14:textId="77777777" w:rsidTr="00CE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85" w:type="dxa"/>
          </w:tcPr>
          <w:p w14:paraId="16C60667" w14:textId="7B12D53C" w:rsidR="00F125C0" w:rsidRDefault="00F125C0" w:rsidP="00CE7EE5">
            <w:pPr>
              <w:spacing w:before="120" w:after="120"/>
            </w:pPr>
            <w:r>
              <w:t>Profit-Centric Metrics</w:t>
            </w:r>
          </w:p>
        </w:tc>
        <w:tc>
          <w:tcPr>
            <w:tcW w:w="3183" w:type="dxa"/>
          </w:tcPr>
          <w:p w14:paraId="45F05B29" w14:textId="1C8B4A65" w:rsidR="00F125C0" w:rsidRDefault="00F125C0" w:rsidP="00CE7EE5">
            <w:pPr>
              <w:spacing w:before="120" w:after="120"/>
            </w:pPr>
            <w:r>
              <w:t>Overall business profitability</w:t>
            </w:r>
          </w:p>
        </w:tc>
        <w:tc>
          <w:tcPr>
            <w:tcW w:w="3184" w:type="dxa"/>
          </w:tcPr>
          <w:p w14:paraId="30E60126" w14:textId="26B1D83D" w:rsidR="00F125C0" w:rsidRDefault="00F125C0" w:rsidP="00CE7EE5">
            <w:pPr>
              <w:spacing w:before="120" w:after="120"/>
            </w:pPr>
            <w:r>
              <w:t>20% improvement in overall profit margins</w:t>
            </w:r>
          </w:p>
        </w:tc>
      </w:tr>
    </w:tbl>
    <w:p w14:paraId="1B81774E" w14:textId="77777777" w:rsidR="00F125C0" w:rsidRDefault="00F125C0" w:rsidP="009019AB"/>
    <w:p w14:paraId="5D0254E1" w14:textId="4EADE8F9" w:rsidR="00963897" w:rsidRDefault="008F39E5" w:rsidP="009019AB">
      <w:r w:rsidRPr="00963897">
        <w:rPr>
          <w:rFonts w:ascii="Century Gothic" w:hAnsi="Century Gothic"/>
          <w:color w:val="0070C0"/>
          <w:sz w:val="32"/>
          <w:szCs w:val="32"/>
        </w:rPr>
        <w:t>Integrated Success Indicator</w:t>
      </w:r>
    </w:p>
    <w:p w14:paraId="171F4639" w14:textId="31D39A1C" w:rsidR="008F39E5" w:rsidRDefault="008F39E5" w:rsidP="009019AB">
      <w:r>
        <w:t>Achieve overall business profit growth of 2</w:t>
      </w:r>
      <w:r w:rsidR="00963897">
        <w:t>0</w:t>
      </w:r>
      <w:r>
        <w:t>% within 90 days while maintaining sales volume stability, demonstrating that profit optimization enhances rather than undermines business growth.</w:t>
      </w:r>
    </w:p>
    <w:p w14:paraId="5A7C5147" w14:textId="25D5B327" w:rsidR="00676520" w:rsidRPr="00676520" w:rsidRDefault="008F39E5" w:rsidP="009019AB">
      <w:r>
        <w:t>This integrated approach leverages the interconnected insights from all functional analyses to create a cohesive strategy that addresses the root causes of performance disparities while building on existing strengths in geographic markets, customer relationships, and product categories.</w:t>
      </w:r>
    </w:p>
    <w:sectPr w:rsidR="00676520" w:rsidRPr="00676520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9493F" w14:textId="77777777" w:rsidR="001962F2" w:rsidRDefault="001962F2" w:rsidP="009019AB">
      <w:r>
        <w:separator/>
      </w:r>
    </w:p>
    <w:p w14:paraId="43BBD1E6" w14:textId="77777777" w:rsidR="001962F2" w:rsidRDefault="001962F2" w:rsidP="009019AB"/>
    <w:p w14:paraId="1770407F" w14:textId="77777777" w:rsidR="001962F2" w:rsidRDefault="001962F2" w:rsidP="009019AB"/>
    <w:p w14:paraId="4866F6BE" w14:textId="77777777" w:rsidR="001962F2" w:rsidRDefault="001962F2" w:rsidP="009019AB"/>
  </w:endnote>
  <w:endnote w:type="continuationSeparator" w:id="0">
    <w:p w14:paraId="01B52141" w14:textId="77777777" w:rsidR="001962F2" w:rsidRDefault="001962F2" w:rsidP="009019AB">
      <w:r>
        <w:continuationSeparator/>
      </w:r>
    </w:p>
    <w:p w14:paraId="1CC9707D" w14:textId="77777777" w:rsidR="001962F2" w:rsidRDefault="001962F2" w:rsidP="009019AB"/>
    <w:p w14:paraId="76ED35E3" w14:textId="77777777" w:rsidR="001962F2" w:rsidRDefault="001962F2" w:rsidP="009019AB"/>
    <w:p w14:paraId="05394B71" w14:textId="77777777" w:rsidR="001962F2" w:rsidRDefault="001962F2" w:rsidP="009019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779B0" w14:textId="77777777" w:rsidR="009D68E5" w:rsidRDefault="00000000" w:rsidP="009019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0D3550" w14:textId="77777777" w:rsidR="00000000" w:rsidRDefault="00000000" w:rsidP="009019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08FCD" w14:textId="77777777" w:rsidR="001962F2" w:rsidRDefault="001962F2" w:rsidP="009019AB">
      <w:r>
        <w:separator/>
      </w:r>
    </w:p>
    <w:p w14:paraId="39D96FF5" w14:textId="77777777" w:rsidR="001962F2" w:rsidRDefault="001962F2" w:rsidP="009019AB"/>
    <w:p w14:paraId="65A8E497" w14:textId="77777777" w:rsidR="001962F2" w:rsidRDefault="001962F2" w:rsidP="009019AB"/>
    <w:p w14:paraId="1B5665DA" w14:textId="77777777" w:rsidR="001962F2" w:rsidRDefault="001962F2" w:rsidP="009019AB"/>
  </w:footnote>
  <w:footnote w:type="continuationSeparator" w:id="0">
    <w:p w14:paraId="507D90D9" w14:textId="77777777" w:rsidR="001962F2" w:rsidRDefault="001962F2" w:rsidP="009019AB">
      <w:r>
        <w:continuationSeparator/>
      </w:r>
    </w:p>
    <w:p w14:paraId="7C2AA3BA" w14:textId="77777777" w:rsidR="001962F2" w:rsidRDefault="001962F2" w:rsidP="009019AB"/>
    <w:p w14:paraId="0AD8210B" w14:textId="77777777" w:rsidR="001962F2" w:rsidRDefault="001962F2" w:rsidP="009019AB"/>
    <w:p w14:paraId="207849E3" w14:textId="77777777" w:rsidR="001962F2" w:rsidRDefault="001962F2" w:rsidP="009019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A375F"/>
    <w:multiLevelType w:val="hybridMultilevel"/>
    <w:tmpl w:val="0E7C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840956">
    <w:abstractNumId w:val="9"/>
  </w:num>
  <w:num w:numId="2" w16cid:durableId="353111927">
    <w:abstractNumId w:val="12"/>
  </w:num>
  <w:num w:numId="3" w16cid:durableId="842428370">
    <w:abstractNumId w:val="15"/>
  </w:num>
  <w:num w:numId="4" w16cid:durableId="1106465442">
    <w:abstractNumId w:val="13"/>
  </w:num>
  <w:num w:numId="5" w16cid:durableId="364839540">
    <w:abstractNumId w:val="10"/>
  </w:num>
  <w:num w:numId="6" w16cid:durableId="2104913271">
    <w:abstractNumId w:val="7"/>
  </w:num>
  <w:num w:numId="7" w16cid:durableId="1331829420">
    <w:abstractNumId w:val="6"/>
  </w:num>
  <w:num w:numId="8" w16cid:durableId="1343051075">
    <w:abstractNumId w:val="5"/>
  </w:num>
  <w:num w:numId="9" w16cid:durableId="943923831">
    <w:abstractNumId w:val="4"/>
  </w:num>
  <w:num w:numId="10" w16cid:durableId="1403874625">
    <w:abstractNumId w:val="8"/>
  </w:num>
  <w:num w:numId="11" w16cid:durableId="1893926446">
    <w:abstractNumId w:val="3"/>
  </w:num>
  <w:num w:numId="12" w16cid:durableId="1526167491">
    <w:abstractNumId w:val="2"/>
  </w:num>
  <w:num w:numId="13" w16cid:durableId="725030427">
    <w:abstractNumId w:val="1"/>
  </w:num>
  <w:num w:numId="14" w16cid:durableId="1342900588">
    <w:abstractNumId w:val="0"/>
  </w:num>
  <w:num w:numId="15" w16cid:durableId="1810898239">
    <w:abstractNumId w:val="14"/>
  </w:num>
  <w:num w:numId="16" w16cid:durableId="1281183226">
    <w:abstractNumId w:val="16"/>
  </w:num>
  <w:num w:numId="17" w16cid:durableId="11951159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57"/>
    <w:rsid w:val="001962F2"/>
    <w:rsid w:val="00676520"/>
    <w:rsid w:val="008F39E5"/>
    <w:rsid w:val="009019AB"/>
    <w:rsid w:val="00963897"/>
    <w:rsid w:val="00964B32"/>
    <w:rsid w:val="00974B57"/>
    <w:rsid w:val="009D68E5"/>
    <w:rsid w:val="009E696F"/>
    <w:rsid w:val="00AD22E5"/>
    <w:rsid w:val="00BB2485"/>
    <w:rsid w:val="00CE7EE5"/>
    <w:rsid w:val="00E82F56"/>
    <w:rsid w:val="00F125C0"/>
    <w:rsid w:val="00FD4EB9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D666A"/>
  <w15:chartTrackingRefBased/>
  <w15:docId w15:val="{E2809ECB-4C4A-B34E-BBD4-AB417287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9AB"/>
    <w:pPr>
      <w:spacing w:line="36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5C0"/>
    <w:pPr>
      <w:pBdr>
        <w:bottom w:val="single" w:sz="4" w:space="1" w:color="auto"/>
      </w:pBdr>
      <w:spacing w:line="240" w:lineRule="auto"/>
      <w:outlineLvl w:val="0"/>
    </w:pPr>
    <w:rPr>
      <w:rFonts w:ascii="Century Gothic" w:hAnsi="Century Gothic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5C0"/>
    <w:pPr>
      <w:spacing w:after="0"/>
      <w:outlineLvl w:val="1"/>
    </w:pPr>
    <w:rPr>
      <w:rFonts w:ascii="Century Gothic" w:hAnsi="Century Gothic"/>
      <w:color w:val="762618" w:themeColor="accent4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974B57"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974B57"/>
    <w:rPr>
      <w:rFonts w:ascii="Arial" w:eastAsiaTheme="minorEastAsia" w:hAnsi="Arial"/>
      <w:sz w:val="32"/>
    </w:rPr>
  </w:style>
  <w:style w:type="paragraph" w:styleId="Title">
    <w:name w:val="Title"/>
    <w:basedOn w:val="Normal"/>
    <w:link w:val="TitleChar"/>
    <w:uiPriority w:val="1"/>
    <w:qFormat/>
    <w:rsid w:val="00974B57"/>
    <w:pPr>
      <w:spacing w:line="240" w:lineRule="auto"/>
      <w:contextualSpacing/>
    </w:pPr>
    <w:rPr>
      <w:rFonts w:ascii="Century Gothic" w:eastAsiaTheme="majorEastAsia" w:hAnsi="Century Gothic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74B57"/>
    <w:rPr>
      <w:rFonts w:ascii="Century Gothic" w:eastAsiaTheme="majorEastAsia" w:hAnsi="Century Gothic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25C0"/>
    <w:rPr>
      <w:rFonts w:ascii="Century Gothic" w:hAnsi="Century Gothic" w:cs="Arial"/>
      <w:color w:val="0070C0"/>
      <w:sz w:val="3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974B57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F125C0"/>
    <w:rPr>
      <w:rFonts w:ascii="Century Gothic" w:hAnsi="Century Gothic" w:cs="Arial"/>
      <w:color w:val="762618" w:themeColor="accent4" w:themeShade="80"/>
      <w:sz w:val="28"/>
      <w:szCs w:val="28"/>
    </w:rPr>
  </w:style>
  <w:style w:type="paragraph" w:styleId="Header">
    <w:name w:val="header"/>
    <w:basedOn w:val="Title"/>
    <w:link w:val="HeaderChar"/>
    <w:uiPriority w:val="99"/>
    <w:qFormat/>
    <w:rsid w:val="00676520"/>
    <w:pPr>
      <w:shd w:val="clear" w:color="auto" w:fill="002060"/>
      <w:ind w:left="90"/>
      <w:jc w:val="center"/>
    </w:pPr>
    <w:rPr>
      <w:bCs/>
      <w:color w:val="FFC000"/>
      <w:sz w:val="42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  <w:rsid w:val="00676520"/>
    <w:rPr>
      <w:rFonts w:ascii="Century Gothic" w:eastAsiaTheme="majorEastAsia" w:hAnsi="Century Gothic" w:cstheme="majorBidi"/>
      <w:bCs/>
      <w:color w:val="FFC000"/>
      <w:kern w:val="28"/>
      <w:sz w:val="42"/>
      <w:szCs w:val="42"/>
      <w:shd w:val="clear" w:color="auto" w:fil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AD22E5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F125C0"/>
    <w:pPr>
      <w:spacing w:after="0" w:line="240" w:lineRule="auto"/>
    </w:pPr>
    <w:tblPr>
      <w:tblStyleRowBandSize w:val="1"/>
      <w:tblStyleColBandSize w:val="1"/>
      <w:tblBorders>
        <w:top w:val="single" w:sz="4" w:space="0" w:color="92B2B5" w:themeColor="accent1" w:themeTint="99"/>
        <w:left w:val="single" w:sz="4" w:space="0" w:color="92B2B5" w:themeColor="accent1" w:themeTint="99"/>
        <w:bottom w:val="single" w:sz="4" w:space="0" w:color="92B2B5" w:themeColor="accent1" w:themeTint="99"/>
        <w:right w:val="single" w:sz="4" w:space="0" w:color="92B2B5" w:themeColor="accent1" w:themeTint="99"/>
        <w:insideH w:val="single" w:sz="4" w:space="0" w:color="92B2B5" w:themeColor="accent1" w:themeTint="99"/>
        <w:insideV w:val="single" w:sz="4" w:space="0" w:color="92B2B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777A" w:themeColor="accent1"/>
          <w:left w:val="single" w:sz="4" w:space="0" w:color="53777A" w:themeColor="accent1"/>
          <w:bottom w:val="single" w:sz="4" w:space="0" w:color="53777A" w:themeColor="accent1"/>
          <w:right w:val="single" w:sz="4" w:space="0" w:color="53777A" w:themeColor="accent1"/>
          <w:insideH w:val="nil"/>
          <w:insideV w:val="nil"/>
        </w:tcBorders>
        <w:shd w:val="clear" w:color="auto" w:fill="53777A" w:themeFill="accent1"/>
      </w:tcPr>
    </w:tblStylePr>
    <w:tblStylePr w:type="lastRow">
      <w:rPr>
        <w:b/>
        <w:bCs/>
      </w:rPr>
      <w:tblPr/>
      <w:tcPr>
        <w:tcBorders>
          <w:top w:val="double" w:sz="4" w:space="0" w:color="5377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E6" w:themeFill="accent1" w:themeFillTint="33"/>
      </w:tcPr>
    </w:tblStylePr>
    <w:tblStylePr w:type="band1Horz">
      <w:tblPr/>
      <w:tcPr>
        <w:shd w:val="clear" w:color="auto" w:fill="DAE5E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udanin/Library/Containers/com.microsoft.Word/Data/Library/Application%20Support/Microsoft/Office/16.0/DTS/en-US%7b6F5A9BB5-A5B2-A043-B768-8680BA6CEBC1%7d/%7b8802B9C5-46A8-404A-AF7E-BB49F9841B4C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12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Yudanin</dc:creator>
  <cp:keywords/>
  <dc:description/>
  <cp:lastModifiedBy>Michael Yudanin</cp:lastModifiedBy>
  <cp:revision>8</cp:revision>
  <dcterms:created xsi:type="dcterms:W3CDTF">2025-07-20T21:59:00Z</dcterms:created>
  <dcterms:modified xsi:type="dcterms:W3CDTF">2025-07-20T22:23:00Z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