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4114" w14:textId="1CF950BB" w:rsidR="007562C0" w:rsidRPr="001B6501" w:rsidRDefault="007562C0" w:rsidP="001B6501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1B6501">
        <w:rPr>
          <w:rFonts w:ascii="Arial" w:eastAsia="Times New Roman" w:hAnsi="Arial" w:cs="Arial"/>
          <w:b/>
          <w:bCs/>
          <w:kern w:val="0"/>
          <w14:ligatures w14:val="none"/>
        </w:rPr>
        <w:t>Multi-Omics Target Prioritization in Ovarian Cancer</w:t>
      </w:r>
    </w:p>
    <w:p w14:paraId="68C3A226" w14:textId="77777777" w:rsidR="007562C0" w:rsidRPr="001B6501" w:rsidRDefault="007562C0" w:rsidP="001B650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i/>
          <w:iCs/>
          <w:kern w:val="0"/>
          <w14:ligatures w14:val="none"/>
        </w:rPr>
      </w:pPr>
      <w:r w:rsidRPr="001B6501">
        <w:rPr>
          <w:rFonts w:ascii="Arial" w:eastAsia="Times New Roman" w:hAnsi="Arial" w:cs="Arial"/>
          <w:b/>
          <w:bCs/>
          <w:kern w:val="0"/>
          <w14:ligatures w14:val="none"/>
        </w:rPr>
        <w:t>1. Disease &amp; Data Choice</w:t>
      </w:r>
    </w:p>
    <w:p w14:paraId="48EC1FFC" w14:textId="4025462F" w:rsidR="000C706A" w:rsidRPr="001B6501" w:rsidRDefault="000C706A" w:rsidP="001B6501">
      <w:pPr>
        <w:spacing w:line="360" w:lineRule="auto"/>
        <w:rPr>
          <w:rFonts w:ascii="Arial" w:hAnsi="Arial" w:cs="Arial"/>
        </w:rPr>
      </w:pPr>
      <w:r w:rsidRPr="001B6501">
        <w:rPr>
          <w:rFonts w:ascii="Arial" w:hAnsi="Arial" w:cs="Arial"/>
        </w:rPr>
        <w:t>I chose high-grade serous ovarian cancer (HGSOC)</w:t>
      </w:r>
      <w:r w:rsidR="00BD1214" w:rsidRPr="001B6501">
        <w:rPr>
          <w:rFonts w:ascii="Arial" w:hAnsi="Arial" w:cs="Arial"/>
        </w:rPr>
        <w:t xml:space="preserve"> </w:t>
      </w:r>
      <w:r w:rsidR="00BD1214" w:rsidRPr="001B6501">
        <w:rPr>
          <w:rFonts w:ascii="Arial" w:hAnsi="Arial" w:cs="Arial"/>
        </w:rPr>
        <w:t>because it offered genuinely sample-matched, three-layer proteogenomic data through the TCGA/CPTAC ovarian cancer study</w:t>
      </w:r>
      <w:r w:rsidR="003432D2">
        <w:rPr>
          <w:rFonts w:ascii="Arial" w:hAnsi="Arial" w:cs="Arial" w:hint="eastAsia"/>
        </w:rPr>
        <w:t xml:space="preserve"> (</w:t>
      </w:r>
      <w:r w:rsidR="003432D2">
        <w:rPr>
          <w:rFonts w:ascii="Arial" w:hAnsi="Arial" w:cs="Arial"/>
        </w:rPr>
        <w:t>Zhang et al., 2016)</w:t>
      </w:r>
      <w:r w:rsidR="003654F6" w:rsidRPr="001B6501">
        <w:rPr>
          <w:rFonts w:ascii="Arial" w:hAnsi="Arial" w:cs="Arial"/>
        </w:rPr>
        <w:t xml:space="preserve">. </w:t>
      </w:r>
      <w:r w:rsidRPr="001B6501">
        <w:rPr>
          <w:rFonts w:ascii="Arial" w:hAnsi="Arial" w:cs="Arial"/>
        </w:rPr>
        <w:t>All three data layers came from the same underlying cohort (TCGA/CPTAC ovarian serous cystadenocarcinoma), distributed through LinkedOmics as pre-processed matrices</w:t>
      </w:r>
      <w:r w:rsidR="003432D2">
        <w:rPr>
          <w:rFonts w:ascii="Arial" w:hAnsi="Arial" w:cs="Arial"/>
        </w:rPr>
        <w:t xml:space="preserve"> (Vasaikar et al., 2017)</w:t>
      </w:r>
      <w:r w:rsidRPr="001B6501">
        <w:rPr>
          <w:rFonts w:ascii="Arial" w:hAnsi="Arial" w:cs="Arial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499"/>
        <w:gridCol w:w="1400"/>
        <w:gridCol w:w="900"/>
        <w:gridCol w:w="861"/>
      </w:tblGrid>
      <w:tr w:rsidR="00DE4B10" w:rsidRPr="001B6501" w14:paraId="494DE80D" w14:textId="77777777" w:rsidTr="00A43235">
        <w:trPr>
          <w:trHeight w:val="313"/>
        </w:trPr>
        <w:tc>
          <w:tcPr>
            <w:tcW w:w="1700" w:type="dxa"/>
            <w:shd w:val="clear" w:color="auto" w:fill="D1D1D1" w:themeFill="background2" w:themeFillShade="E6"/>
            <w:vAlign w:val="center"/>
          </w:tcPr>
          <w:p w14:paraId="5A423556" w14:textId="77777777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  <w:b/>
                <w:bCs/>
              </w:rPr>
              <w:t>Layer</w:t>
            </w:r>
          </w:p>
        </w:tc>
        <w:tc>
          <w:tcPr>
            <w:tcW w:w="4500" w:type="dxa"/>
            <w:shd w:val="clear" w:color="auto" w:fill="D1D1D1" w:themeFill="background2" w:themeFillShade="E6"/>
            <w:vAlign w:val="center"/>
          </w:tcPr>
          <w:p w14:paraId="390504D3" w14:textId="77777777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  <w:b/>
                <w:bCs/>
              </w:rPr>
              <w:t>Source / File</w:t>
            </w:r>
          </w:p>
        </w:tc>
        <w:tc>
          <w:tcPr>
            <w:tcW w:w="1400" w:type="dxa"/>
            <w:shd w:val="clear" w:color="auto" w:fill="D1D1D1" w:themeFill="background2" w:themeFillShade="E6"/>
            <w:vAlign w:val="center"/>
          </w:tcPr>
          <w:p w14:paraId="1096F1AA" w14:textId="77777777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  <w:b/>
                <w:bCs/>
              </w:rPr>
              <w:t>Samples</w:t>
            </w:r>
          </w:p>
        </w:tc>
        <w:tc>
          <w:tcPr>
            <w:tcW w:w="900" w:type="dxa"/>
            <w:shd w:val="clear" w:color="auto" w:fill="D1D1D1" w:themeFill="background2" w:themeFillShade="E6"/>
            <w:vAlign w:val="center"/>
          </w:tcPr>
          <w:p w14:paraId="09C1C687" w14:textId="77777777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  <w:b/>
                <w:bCs/>
              </w:rPr>
              <w:t>Genes</w:t>
            </w:r>
          </w:p>
        </w:tc>
        <w:tc>
          <w:tcPr>
            <w:tcW w:w="860" w:type="dxa"/>
            <w:shd w:val="clear" w:color="auto" w:fill="D1D1D1" w:themeFill="background2" w:themeFillShade="E6"/>
            <w:vAlign w:val="center"/>
          </w:tcPr>
          <w:p w14:paraId="69E9CC42" w14:textId="77777777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  <w:b/>
                <w:bCs/>
              </w:rPr>
              <w:t>Access</w:t>
            </w:r>
          </w:p>
        </w:tc>
      </w:tr>
      <w:tr w:rsidR="00DE4B10" w:rsidRPr="001B6501" w14:paraId="2462BB01" w14:textId="77777777" w:rsidTr="00CC711E">
        <w:tc>
          <w:tcPr>
            <w:tcW w:w="1700" w:type="dxa"/>
            <w:vAlign w:val="center"/>
          </w:tcPr>
          <w:p w14:paraId="4CCC2006" w14:textId="77777777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Genomic</w:t>
            </w:r>
          </w:p>
        </w:tc>
        <w:tc>
          <w:tcPr>
            <w:tcW w:w="4500" w:type="dxa"/>
            <w:vAlign w:val="center"/>
          </w:tcPr>
          <w:p w14:paraId="4DF57632" w14:textId="1C870ED2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LinkedOmics (WUSM)</w:t>
            </w:r>
            <w:r w:rsidR="005E19E6">
              <w:rPr>
                <w:rFonts w:ascii="Arial" w:hAnsi="Arial" w:cs="Arial" w:hint="eastAsia"/>
              </w:rPr>
              <w:t xml:space="preserve"> -</w:t>
            </w:r>
            <w:r w:rsidRPr="001B6501">
              <w:rPr>
                <w:rFonts w:ascii="Arial" w:hAnsi="Arial" w:cs="Arial"/>
              </w:rPr>
              <w:t xml:space="preserve"> Mutation, gene level, MutSig2CV-filtered (.cbt)</w:t>
            </w:r>
          </w:p>
        </w:tc>
        <w:tc>
          <w:tcPr>
            <w:tcW w:w="1400" w:type="dxa"/>
            <w:vAlign w:val="center"/>
          </w:tcPr>
          <w:p w14:paraId="5CC44B35" w14:textId="77777777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465 tumors</w:t>
            </w:r>
          </w:p>
        </w:tc>
        <w:tc>
          <w:tcPr>
            <w:tcW w:w="900" w:type="dxa"/>
            <w:vAlign w:val="center"/>
          </w:tcPr>
          <w:p w14:paraId="7186116F" w14:textId="77777777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2,205</w:t>
            </w:r>
          </w:p>
        </w:tc>
        <w:tc>
          <w:tcPr>
            <w:tcW w:w="860" w:type="dxa"/>
            <w:vAlign w:val="center"/>
          </w:tcPr>
          <w:p w14:paraId="3F57BFB8" w14:textId="77777777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Open</w:t>
            </w:r>
          </w:p>
        </w:tc>
      </w:tr>
      <w:tr w:rsidR="00DE4B10" w:rsidRPr="001B6501" w14:paraId="2D0FA5E9" w14:textId="77777777" w:rsidTr="00CC711E">
        <w:tc>
          <w:tcPr>
            <w:tcW w:w="1700" w:type="dxa"/>
            <w:vAlign w:val="center"/>
          </w:tcPr>
          <w:p w14:paraId="7AACE1F0" w14:textId="77777777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Transcriptomic</w:t>
            </w:r>
          </w:p>
        </w:tc>
        <w:tc>
          <w:tcPr>
            <w:tcW w:w="4500" w:type="dxa"/>
            <w:vAlign w:val="center"/>
          </w:tcPr>
          <w:p w14:paraId="5564A674" w14:textId="33187715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 xml:space="preserve">LinkedOmics (UNC) </w:t>
            </w:r>
            <w:r w:rsidR="005E19E6">
              <w:rPr>
                <w:rFonts w:ascii="Arial" w:hAnsi="Arial" w:cs="Arial" w:hint="eastAsia"/>
              </w:rPr>
              <w:t xml:space="preserve">- </w:t>
            </w:r>
            <w:r w:rsidRPr="001B6501">
              <w:rPr>
                <w:rFonts w:ascii="Arial" w:hAnsi="Arial" w:cs="Arial"/>
              </w:rPr>
              <w:t>RNAseq, Illumina HiSeq, RSEM log2 (.cct)</w:t>
            </w:r>
          </w:p>
        </w:tc>
        <w:tc>
          <w:tcPr>
            <w:tcW w:w="1400" w:type="dxa"/>
            <w:vAlign w:val="center"/>
          </w:tcPr>
          <w:p w14:paraId="11528A22" w14:textId="77777777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303 tumors</w:t>
            </w:r>
          </w:p>
        </w:tc>
        <w:tc>
          <w:tcPr>
            <w:tcW w:w="900" w:type="dxa"/>
            <w:vAlign w:val="center"/>
          </w:tcPr>
          <w:p w14:paraId="2689F399" w14:textId="77777777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20,032</w:t>
            </w:r>
          </w:p>
        </w:tc>
        <w:tc>
          <w:tcPr>
            <w:tcW w:w="860" w:type="dxa"/>
            <w:vAlign w:val="center"/>
          </w:tcPr>
          <w:p w14:paraId="155305BB" w14:textId="77777777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Open</w:t>
            </w:r>
          </w:p>
        </w:tc>
      </w:tr>
      <w:tr w:rsidR="00DE4B10" w:rsidRPr="001B6501" w14:paraId="3A195530" w14:textId="77777777" w:rsidTr="00CC711E">
        <w:tc>
          <w:tcPr>
            <w:tcW w:w="1700" w:type="dxa"/>
            <w:vAlign w:val="center"/>
          </w:tcPr>
          <w:p w14:paraId="4C5CA05A" w14:textId="77777777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Proteomic</w:t>
            </w:r>
          </w:p>
        </w:tc>
        <w:tc>
          <w:tcPr>
            <w:tcW w:w="4500" w:type="dxa"/>
            <w:vAlign w:val="center"/>
          </w:tcPr>
          <w:p w14:paraId="18808C31" w14:textId="47ECD2DA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 xml:space="preserve">LinkedOmics (PNNL) </w:t>
            </w:r>
            <w:r w:rsidR="005E19E6">
              <w:rPr>
                <w:rFonts w:ascii="Arial" w:hAnsi="Arial" w:cs="Arial" w:hint="eastAsia"/>
              </w:rPr>
              <w:t>-</w:t>
            </w:r>
            <w:r w:rsidRPr="001B6501">
              <w:rPr>
                <w:rFonts w:ascii="Arial" w:hAnsi="Arial" w:cs="Arial"/>
              </w:rPr>
              <w:t xml:space="preserve"> Proteome, iTRAQ log-ratio, gene level (.cct)</w:t>
            </w:r>
          </w:p>
        </w:tc>
        <w:tc>
          <w:tcPr>
            <w:tcW w:w="1400" w:type="dxa"/>
            <w:vAlign w:val="center"/>
          </w:tcPr>
          <w:p w14:paraId="168EF212" w14:textId="77777777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84 tumors</w:t>
            </w:r>
          </w:p>
        </w:tc>
        <w:tc>
          <w:tcPr>
            <w:tcW w:w="900" w:type="dxa"/>
            <w:vAlign w:val="center"/>
          </w:tcPr>
          <w:p w14:paraId="04E94DD9" w14:textId="77777777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6,475</w:t>
            </w:r>
          </w:p>
        </w:tc>
        <w:tc>
          <w:tcPr>
            <w:tcW w:w="860" w:type="dxa"/>
            <w:vAlign w:val="center"/>
          </w:tcPr>
          <w:p w14:paraId="055C1EE1" w14:textId="77777777" w:rsidR="00DE4B10" w:rsidRPr="001B6501" w:rsidRDefault="00DE4B10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Open</w:t>
            </w:r>
          </w:p>
        </w:tc>
      </w:tr>
    </w:tbl>
    <w:p w14:paraId="5CDB4862" w14:textId="77777777" w:rsidR="00770EF8" w:rsidRPr="001B6501" w:rsidRDefault="00B05631" w:rsidP="001B6501">
      <w:pPr>
        <w:spacing w:line="360" w:lineRule="auto"/>
        <w:rPr>
          <w:rFonts w:ascii="Arial" w:hAnsi="Arial" w:cs="Arial"/>
        </w:rPr>
      </w:pPr>
      <w:r w:rsidRPr="001B6501">
        <w:rPr>
          <w:rFonts w:ascii="Arial" w:hAnsi="Arial" w:cs="Arial"/>
        </w:rPr>
        <w:t xml:space="preserve">All three files were open-access, no data-use agreement required. </w:t>
      </w:r>
      <w:r w:rsidR="00770EF8" w:rsidRPr="001B6501">
        <w:rPr>
          <w:rFonts w:ascii="Arial" w:hAnsi="Arial" w:cs="Arial"/>
        </w:rPr>
        <w:t>The mutation matrix was reduced from a gene-by-tumor binary matrix to per-gene mutation frequency. RNA and protein matrices were likewise reduced to gene-level evidence for scoring. Importantly, 54 of the 84 proteome-profiled tumors also had RNA-seq measurements, allowing sample-level RNA-protein concordance to be assessed in the same tumors.</w:t>
      </w:r>
    </w:p>
    <w:p w14:paraId="787B7408" w14:textId="3E090907" w:rsidR="00B05631" w:rsidRPr="001B6501" w:rsidRDefault="007562C0" w:rsidP="001B6501">
      <w:pPr>
        <w:spacing w:line="360" w:lineRule="auto"/>
        <w:rPr>
          <w:rFonts w:ascii="Arial" w:eastAsia="Times New Roman" w:hAnsi="Arial" w:cs="Arial"/>
          <w:b/>
          <w:bCs/>
          <w:i/>
          <w:iCs/>
          <w:kern w:val="0"/>
          <w14:ligatures w14:val="none"/>
        </w:rPr>
      </w:pPr>
      <w:r w:rsidRPr="001B6501">
        <w:rPr>
          <w:rFonts w:ascii="Arial" w:eastAsia="Times New Roman" w:hAnsi="Arial" w:cs="Arial"/>
          <w:b/>
          <w:bCs/>
          <w:kern w:val="0"/>
          <w14:ligatures w14:val="none"/>
        </w:rPr>
        <w:t>2.</w:t>
      </w:r>
      <w:r w:rsidR="00DB2CF0" w:rsidRPr="001B6501">
        <w:rPr>
          <w:rFonts w:ascii="Arial" w:eastAsia="Times New Roman" w:hAnsi="Arial" w:cs="Arial"/>
          <w:b/>
          <w:bCs/>
          <w:kern w:val="0"/>
          <w14:ligatures w14:val="none"/>
        </w:rPr>
        <w:t xml:space="preserve"> Multi-Omics Integration and Scoring</w:t>
      </w:r>
      <w:r w:rsidRPr="001B650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</w:p>
    <w:p w14:paraId="01062967" w14:textId="6F12C6A8" w:rsidR="005521EC" w:rsidRPr="005521EC" w:rsidRDefault="005521EC" w:rsidP="001B6501">
      <w:pPr>
        <w:spacing w:before="100" w:beforeAutospacing="1" w:after="100" w:afterAutospacing="1" w:line="360" w:lineRule="auto"/>
        <w:outlineLvl w:val="2"/>
        <w:rPr>
          <w:rFonts w:ascii="Arial" w:hAnsi="Arial" w:cs="Arial"/>
        </w:rPr>
      </w:pPr>
      <w:r w:rsidRPr="005521EC">
        <w:rPr>
          <w:rFonts w:ascii="Arial" w:hAnsi="Arial" w:cs="Arial"/>
        </w:rPr>
        <w:t xml:space="preserve">Gene identifiers were harmonized across </w:t>
      </w:r>
      <w:r w:rsidRPr="001B6501">
        <w:rPr>
          <w:rFonts w:ascii="Arial" w:hAnsi="Arial" w:cs="Arial"/>
        </w:rPr>
        <w:t>layers,</w:t>
      </w:r>
      <w:r w:rsidRPr="005521EC">
        <w:rPr>
          <w:rFonts w:ascii="Arial" w:hAnsi="Arial" w:cs="Arial"/>
        </w:rPr>
        <w:t xml:space="preserve"> and the matrices were joined on gene symbol. Because the mutation data were provided as a binary gene-by-tumor matrix, they were first reduced to per-gene mutation frequency across the 465 tumors. The three-way join retained 751 genes from 20,032 RNA-seq genes, 6,475 proteomic genes, and 2,205 mutation-tested genes. Because the public RNA/protein matrices do not contain tumor/normal labels, their gene-level evidence represents overall abundance magnitude rather than tumor-vs-normal fold change.</w:t>
      </w:r>
    </w:p>
    <w:p w14:paraId="646EF981" w14:textId="77777777" w:rsidR="005521EC" w:rsidRPr="005521EC" w:rsidRDefault="005521EC" w:rsidP="001B6501">
      <w:pPr>
        <w:spacing w:before="100" w:beforeAutospacing="1" w:after="100" w:afterAutospacing="1" w:line="360" w:lineRule="auto"/>
        <w:outlineLvl w:val="2"/>
        <w:rPr>
          <w:rFonts w:ascii="Arial" w:hAnsi="Arial" w:cs="Arial"/>
        </w:rPr>
      </w:pPr>
      <w:r w:rsidRPr="005521EC">
        <w:rPr>
          <w:rFonts w:ascii="Arial" w:hAnsi="Arial" w:cs="Arial"/>
        </w:rPr>
        <w:lastRenderedPageBreak/>
        <w:t>For concordance, a signed fold-change comparison like the Alzheimer's exercise was not appropriate. Instead, the matched design allowed a per-gene Spearman correlation between RNA and protein across the 54 shared tumors. Median RNA-protein correlation across the 751 joined genes was 0.49 (range -0.18 to 0.88), showing that RNA and protein are related but far from interchangeable.</w:t>
      </w:r>
    </w:p>
    <w:p w14:paraId="1066C6B3" w14:textId="38733369" w:rsidR="005521EC" w:rsidRPr="005521EC" w:rsidRDefault="005521EC" w:rsidP="001B6501">
      <w:pPr>
        <w:spacing w:before="100" w:beforeAutospacing="1" w:after="100" w:afterAutospacing="1" w:line="360" w:lineRule="auto"/>
        <w:outlineLvl w:val="2"/>
        <w:rPr>
          <w:rFonts w:ascii="Arial" w:hAnsi="Arial" w:cs="Arial"/>
        </w:rPr>
      </w:pPr>
      <w:r w:rsidRPr="005521EC">
        <w:rPr>
          <w:rFonts w:ascii="Arial" w:hAnsi="Arial" w:cs="Arial"/>
        </w:rPr>
        <w:t>For prioritization, each layer was converted to a 0</w:t>
      </w:r>
      <w:r w:rsidR="005E19E6">
        <w:rPr>
          <w:rFonts w:ascii="Arial" w:hAnsi="Arial" w:cs="Arial" w:hint="eastAsia"/>
        </w:rPr>
        <w:t>-</w:t>
      </w:r>
      <w:r w:rsidRPr="005521EC">
        <w:rPr>
          <w:rFonts w:ascii="Arial" w:hAnsi="Arial" w:cs="Arial"/>
        </w:rPr>
        <w:t>1 percentile rank so that measurements on different scales could be combined. The three percentile ranks were then combined into a single multi-evidence score; the weighting strategy is discussed below.</w:t>
      </w:r>
    </w:p>
    <w:p w14:paraId="3D7CDF9C" w14:textId="7A6E4BCC" w:rsidR="007562C0" w:rsidRPr="001B6501" w:rsidRDefault="007562C0" w:rsidP="001B650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1B6501">
        <w:rPr>
          <w:rFonts w:ascii="Arial" w:eastAsia="Times New Roman" w:hAnsi="Arial" w:cs="Arial"/>
          <w:b/>
          <w:bCs/>
          <w:kern w:val="0"/>
          <w14:ligatures w14:val="none"/>
        </w:rPr>
        <w:t xml:space="preserve">3. Weighting </w:t>
      </w:r>
    </w:p>
    <w:p w14:paraId="026DC690" w14:textId="77777777" w:rsidR="00C438C2" w:rsidRPr="001B6501" w:rsidRDefault="00C438C2" w:rsidP="001B6501">
      <w:pPr>
        <w:spacing w:before="100" w:beforeAutospacing="1" w:after="100" w:afterAutospacing="1" w:line="360" w:lineRule="auto"/>
        <w:outlineLvl w:val="2"/>
        <w:rPr>
          <w:rFonts w:ascii="Arial" w:hAnsi="Arial" w:cs="Arial"/>
        </w:rPr>
      </w:pPr>
      <w:r w:rsidRPr="001B6501">
        <w:rPr>
          <w:rFonts w:ascii="Arial" w:hAnsi="Arial" w:cs="Arial"/>
        </w:rPr>
        <w:t>I used equal weights (1/3 each) for the transcriptomic, proteomic, and genomic layers because each captures a distinct aspect of tumor biology, and this dataset provides no systematic basis for prioritizing one layer over another. Up-weighting genomic evidence would also be defensible because recurrent mutation may be closer to a causal event than RNA or protein abundance. For example, TP53 ranks 9th of 751 largely because of its 82.8% mutation frequency, while its RNA and protein abundance are relatively unremarkable. However, adjusting the weights based on a single expected gene would introduce a post hoc bias. I therefore retained equal weighting as the most neutral and reproducible default.</w:t>
      </w:r>
    </w:p>
    <w:p w14:paraId="49077F64" w14:textId="7EC26370" w:rsidR="007562C0" w:rsidRPr="001B6501" w:rsidRDefault="007562C0" w:rsidP="001B6501">
      <w:pPr>
        <w:spacing w:before="100" w:beforeAutospacing="1" w:after="100" w:afterAutospacing="1" w:line="360" w:lineRule="auto"/>
        <w:outlineLvl w:val="2"/>
        <w:rPr>
          <w:rFonts w:ascii="Arial" w:eastAsia="Batang" w:hAnsi="Arial" w:cs="Arial"/>
          <w:b/>
          <w:bCs/>
          <w:kern w:val="0"/>
          <w14:ligatures w14:val="none"/>
        </w:rPr>
      </w:pPr>
      <w:r w:rsidRPr="001B6501">
        <w:rPr>
          <w:rFonts w:ascii="Arial" w:eastAsia="Times New Roman" w:hAnsi="Arial" w:cs="Arial"/>
          <w:b/>
          <w:bCs/>
          <w:kern w:val="0"/>
          <w14:ligatures w14:val="none"/>
        </w:rPr>
        <w:t>4. Top Targets</w:t>
      </w:r>
      <w:r w:rsidR="00A3781C" w:rsidRPr="001B6501">
        <w:rPr>
          <w:rFonts w:ascii="Arial" w:eastAsia="Times New Roman" w:hAnsi="Arial" w:cs="Arial"/>
          <w:b/>
          <w:bCs/>
          <w:kern w:val="0"/>
          <w14:ligatures w14:val="none"/>
        </w:rPr>
        <w:t xml:space="preserve"> and Biological Interpretation</w:t>
      </w:r>
    </w:p>
    <w:p w14:paraId="424E506D" w14:textId="520080F0" w:rsidR="000006D5" w:rsidRPr="001B6501" w:rsidRDefault="000006D5" w:rsidP="001B6501">
      <w:pPr>
        <w:spacing w:line="360" w:lineRule="auto"/>
        <w:rPr>
          <w:rFonts w:ascii="Arial" w:hAnsi="Arial" w:cs="Arial"/>
        </w:rPr>
      </w:pPr>
      <w:r w:rsidRPr="001B6501">
        <w:rPr>
          <w:rFonts w:ascii="Arial" w:hAnsi="Arial" w:cs="Arial"/>
        </w:rPr>
        <w:t xml:space="preserve">The ranked list of all 751 genes is provided in targets_ov.csv. The top 15 </w:t>
      </w:r>
      <w:r w:rsidR="009245C3" w:rsidRPr="001B6501">
        <w:rPr>
          <w:rFonts w:ascii="Arial" w:hAnsi="Arial" w:cs="Arial"/>
        </w:rPr>
        <w:t>wer</w:t>
      </w:r>
      <w:r w:rsidRPr="001B6501">
        <w:rPr>
          <w:rFonts w:ascii="Arial" w:hAnsi="Arial" w:cs="Arial"/>
        </w:rPr>
        <w:t>e:</w:t>
      </w:r>
    </w:p>
    <w:tbl>
      <w:tblPr>
        <w:tblW w:w="7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6"/>
        <w:gridCol w:w="1912"/>
        <w:gridCol w:w="1329"/>
        <w:gridCol w:w="1147"/>
        <w:gridCol w:w="1417"/>
        <w:gridCol w:w="851"/>
      </w:tblGrid>
      <w:tr w:rsidR="006E2DAE" w:rsidRPr="001B6501" w14:paraId="037F34D4" w14:textId="77777777" w:rsidTr="005E19E6">
        <w:tc>
          <w:tcPr>
            <w:tcW w:w="1136" w:type="dxa"/>
            <w:shd w:val="clear" w:color="auto" w:fill="D1D1D1" w:themeFill="background2" w:themeFillShade="E6"/>
            <w:vAlign w:val="bottom"/>
          </w:tcPr>
          <w:p w14:paraId="1891155E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  <w:b/>
                <w:bCs/>
              </w:rPr>
              <w:t>Gene</w:t>
            </w:r>
          </w:p>
        </w:tc>
        <w:tc>
          <w:tcPr>
            <w:tcW w:w="1912" w:type="dxa"/>
            <w:shd w:val="clear" w:color="auto" w:fill="D1D1D1" w:themeFill="background2" w:themeFillShade="E6"/>
            <w:vAlign w:val="bottom"/>
          </w:tcPr>
          <w:p w14:paraId="10ED805B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  <w:b/>
                <w:bCs/>
              </w:rPr>
              <w:t>Transcriptomic</w:t>
            </w:r>
          </w:p>
        </w:tc>
        <w:tc>
          <w:tcPr>
            <w:tcW w:w="1329" w:type="dxa"/>
            <w:shd w:val="clear" w:color="auto" w:fill="D1D1D1" w:themeFill="background2" w:themeFillShade="E6"/>
            <w:vAlign w:val="bottom"/>
          </w:tcPr>
          <w:p w14:paraId="0261E84C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  <w:b/>
                <w:bCs/>
              </w:rPr>
              <w:t>Proteomic</w:t>
            </w:r>
          </w:p>
        </w:tc>
        <w:tc>
          <w:tcPr>
            <w:tcW w:w="1147" w:type="dxa"/>
            <w:shd w:val="clear" w:color="auto" w:fill="D1D1D1" w:themeFill="background2" w:themeFillShade="E6"/>
            <w:vAlign w:val="bottom"/>
          </w:tcPr>
          <w:p w14:paraId="011958CC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  <w:b/>
                <w:bCs/>
              </w:rPr>
              <w:t>Genomic</w:t>
            </w:r>
          </w:p>
        </w:tc>
        <w:tc>
          <w:tcPr>
            <w:tcW w:w="1417" w:type="dxa"/>
            <w:shd w:val="clear" w:color="auto" w:fill="D1D1D1" w:themeFill="background2" w:themeFillShade="E6"/>
            <w:vAlign w:val="bottom"/>
          </w:tcPr>
          <w:p w14:paraId="44702B88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  <w:b/>
                <w:bCs/>
              </w:rPr>
              <w:t>RNA-Prot r</w:t>
            </w:r>
          </w:p>
        </w:tc>
        <w:tc>
          <w:tcPr>
            <w:tcW w:w="851" w:type="dxa"/>
            <w:shd w:val="clear" w:color="auto" w:fill="D1D1D1" w:themeFill="background2" w:themeFillShade="E6"/>
            <w:vAlign w:val="bottom"/>
          </w:tcPr>
          <w:p w14:paraId="1E42CB55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  <w:b/>
                <w:bCs/>
              </w:rPr>
              <w:t>Score</w:t>
            </w:r>
          </w:p>
        </w:tc>
      </w:tr>
      <w:tr w:rsidR="006E2DAE" w:rsidRPr="001B6501" w14:paraId="0CADB072" w14:textId="77777777" w:rsidTr="005E19E6">
        <w:tc>
          <w:tcPr>
            <w:tcW w:w="1136" w:type="dxa"/>
            <w:vAlign w:val="bottom"/>
          </w:tcPr>
          <w:p w14:paraId="421A5E4A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MUC16</w:t>
            </w:r>
          </w:p>
        </w:tc>
        <w:tc>
          <w:tcPr>
            <w:tcW w:w="1912" w:type="dxa"/>
            <w:vAlign w:val="bottom"/>
          </w:tcPr>
          <w:p w14:paraId="08A01C58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13.564</w:t>
            </w:r>
          </w:p>
        </w:tc>
        <w:tc>
          <w:tcPr>
            <w:tcW w:w="1329" w:type="dxa"/>
            <w:vAlign w:val="bottom"/>
          </w:tcPr>
          <w:p w14:paraId="016C1F2F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0.476</w:t>
            </w:r>
          </w:p>
        </w:tc>
        <w:tc>
          <w:tcPr>
            <w:tcW w:w="1147" w:type="dxa"/>
            <w:vAlign w:val="bottom"/>
          </w:tcPr>
          <w:p w14:paraId="2BF4FEEE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0.043</w:t>
            </w:r>
          </w:p>
        </w:tc>
        <w:tc>
          <w:tcPr>
            <w:tcW w:w="1417" w:type="dxa"/>
            <w:vAlign w:val="bottom"/>
          </w:tcPr>
          <w:p w14:paraId="70E4B46B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0.664</w:t>
            </w:r>
          </w:p>
        </w:tc>
        <w:tc>
          <w:tcPr>
            <w:tcW w:w="851" w:type="dxa"/>
            <w:vAlign w:val="bottom"/>
          </w:tcPr>
          <w:p w14:paraId="10EA6EEA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0.988</w:t>
            </w:r>
          </w:p>
        </w:tc>
      </w:tr>
      <w:tr w:rsidR="006E2DAE" w:rsidRPr="001B6501" w14:paraId="57291140" w14:textId="77777777" w:rsidTr="005E19E6">
        <w:tc>
          <w:tcPr>
            <w:tcW w:w="1136" w:type="dxa"/>
            <w:vAlign w:val="bottom"/>
          </w:tcPr>
          <w:p w14:paraId="7E56CA0B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COL6A3</w:t>
            </w:r>
          </w:p>
        </w:tc>
        <w:tc>
          <w:tcPr>
            <w:tcW w:w="1912" w:type="dxa"/>
            <w:vAlign w:val="bottom"/>
          </w:tcPr>
          <w:p w14:paraId="629216E2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12.327</w:t>
            </w:r>
          </w:p>
        </w:tc>
        <w:tc>
          <w:tcPr>
            <w:tcW w:w="1329" w:type="dxa"/>
            <w:vAlign w:val="bottom"/>
          </w:tcPr>
          <w:p w14:paraId="1984C4EE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0.196</w:t>
            </w:r>
          </w:p>
        </w:tc>
        <w:tc>
          <w:tcPr>
            <w:tcW w:w="1147" w:type="dxa"/>
            <w:vAlign w:val="bottom"/>
          </w:tcPr>
          <w:p w14:paraId="1583965C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0.030</w:t>
            </w:r>
          </w:p>
        </w:tc>
        <w:tc>
          <w:tcPr>
            <w:tcW w:w="1417" w:type="dxa"/>
            <w:vAlign w:val="bottom"/>
          </w:tcPr>
          <w:p w14:paraId="742C0E3A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0.343</w:t>
            </w:r>
          </w:p>
        </w:tc>
        <w:tc>
          <w:tcPr>
            <w:tcW w:w="851" w:type="dxa"/>
            <w:vAlign w:val="bottom"/>
          </w:tcPr>
          <w:p w14:paraId="592AB9DC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0.951</w:t>
            </w:r>
          </w:p>
        </w:tc>
      </w:tr>
      <w:tr w:rsidR="006E2DAE" w:rsidRPr="001B6501" w14:paraId="527679A3" w14:textId="77777777" w:rsidTr="005E19E6">
        <w:tc>
          <w:tcPr>
            <w:tcW w:w="1136" w:type="dxa"/>
            <w:vAlign w:val="bottom"/>
          </w:tcPr>
          <w:p w14:paraId="5D87A668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FN1</w:t>
            </w:r>
          </w:p>
        </w:tc>
        <w:tc>
          <w:tcPr>
            <w:tcW w:w="1912" w:type="dxa"/>
            <w:vAlign w:val="bottom"/>
          </w:tcPr>
          <w:p w14:paraId="3807BBAC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14.175</w:t>
            </w:r>
          </w:p>
        </w:tc>
        <w:tc>
          <w:tcPr>
            <w:tcW w:w="1329" w:type="dxa"/>
            <w:vAlign w:val="bottom"/>
          </w:tcPr>
          <w:p w14:paraId="1BB791CC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0.409</w:t>
            </w:r>
          </w:p>
        </w:tc>
        <w:tc>
          <w:tcPr>
            <w:tcW w:w="1147" w:type="dxa"/>
            <w:vAlign w:val="bottom"/>
          </w:tcPr>
          <w:p w14:paraId="6C61108E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0.011</w:t>
            </w:r>
          </w:p>
        </w:tc>
        <w:tc>
          <w:tcPr>
            <w:tcW w:w="1417" w:type="dxa"/>
            <w:vAlign w:val="bottom"/>
          </w:tcPr>
          <w:p w14:paraId="62C5026F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0.714</w:t>
            </w:r>
          </w:p>
        </w:tc>
        <w:tc>
          <w:tcPr>
            <w:tcW w:w="851" w:type="dxa"/>
            <w:vAlign w:val="bottom"/>
          </w:tcPr>
          <w:p w14:paraId="3AFB36EA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0.913</w:t>
            </w:r>
          </w:p>
        </w:tc>
      </w:tr>
      <w:tr w:rsidR="006E2DAE" w:rsidRPr="001B6501" w14:paraId="5D428F18" w14:textId="77777777" w:rsidTr="005E19E6">
        <w:tc>
          <w:tcPr>
            <w:tcW w:w="1136" w:type="dxa"/>
            <w:vAlign w:val="bottom"/>
          </w:tcPr>
          <w:p w14:paraId="262538C2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lastRenderedPageBreak/>
              <w:t>MACF1</w:t>
            </w:r>
          </w:p>
        </w:tc>
        <w:tc>
          <w:tcPr>
            <w:tcW w:w="1912" w:type="dxa"/>
            <w:vAlign w:val="bottom"/>
          </w:tcPr>
          <w:p w14:paraId="7CFF3C72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11.894</w:t>
            </w:r>
          </w:p>
        </w:tc>
        <w:tc>
          <w:tcPr>
            <w:tcW w:w="1329" w:type="dxa"/>
            <w:vAlign w:val="bottom"/>
          </w:tcPr>
          <w:p w14:paraId="66BED6AD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0.125</w:t>
            </w:r>
          </w:p>
        </w:tc>
        <w:tc>
          <w:tcPr>
            <w:tcW w:w="1147" w:type="dxa"/>
            <w:vAlign w:val="bottom"/>
          </w:tcPr>
          <w:p w14:paraId="423E8F07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0.030</w:t>
            </w:r>
          </w:p>
        </w:tc>
        <w:tc>
          <w:tcPr>
            <w:tcW w:w="1417" w:type="dxa"/>
            <w:vAlign w:val="bottom"/>
          </w:tcPr>
          <w:p w14:paraId="7501D3C2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0.428</w:t>
            </w:r>
          </w:p>
        </w:tc>
        <w:tc>
          <w:tcPr>
            <w:tcW w:w="851" w:type="dxa"/>
            <w:vAlign w:val="bottom"/>
          </w:tcPr>
          <w:p w14:paraId="6225BFF9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0.904</w:t>
            </w:r>
          </w:p>
        </w:tc>
      </w:tr>
      <w:tr w:rsidR="006E2DAE" w:rsidRPr="001B6501" w14:paraId="53BED8AF" w14:textId="77777777" w:rsidTr="005E19E6">
        <w:tc>
          <w:tcPr>
            <w:tcW w:w="1136" w:type="dxa"/>
            <w:vAlign w:val="bottom"/>
          </w:tcPr>
          <w:p w14:paraId="5D786B2D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COL3A1</w:t>
            </w:r>
          </w:p>
        </w:tc>
        <w:tc>
          <w:tcPr>
            <w:tcW w:w="1912" w:type="dxa"/>
            <w:vAlign w:val="bottom"/>
          </w:tcPr>
          <w:p w14:paraId="6FB486EB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14.059</w:t>
            </w:r>
          </w:p>
        </w:tc>
        <w:tc>
          <w:tcPr>
            <w:tcW w:w="1329" w:type="dxa"/>
            <w:vAlign w:val="bottom"/>
          </w:tcPr>
          <w:p w14:paraId="7BA8E2F3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0.259</w:t>
            </w:r>
          </w:p>
        </w:tc>
        <w:tc>
          <w:tcPr>
            <w:tcW w:w="1147" w:type="dxa"/>
            <w:vAlign w:val="bottom"/>
          </w:tcPr>
          <w:p w14:paraId="19176E9A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0.011</w:t>
            </w:r>
          </w:p>
        </w:tc>
        <w:tc>
          <w:tcPr>
            <w:tcW w:w="1417" w:type="dxa"/>
            <w:vAlign w:val="bottom"/>
          </w:tcPr>
          <w:p w14:paraId="32FADA32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0.458</w:t>
            </w:r>
          </w:p>
        </w:tc>
        <w:tc>
          <w:tcPr>
            <w:tcW w:w="851" w:type="dxa"/>
            <w:vAlign w:val="bottom"/>
          </w:tcPr>
          <w:p w14:paraId="5C91783E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0.904</w:t>
            </w:r>
          </w:p>
        </w:tc>
      </w:tr>
      <w:tr w:rsidR="006E2DAE" w:rsidRPr="001B6501" w14:paraId="6BA4F2BB" w14:textId="77777777" w:rsidTr="005E19E6">
        <w:tc>
          <w:tcPr>
            <w:tcW w:w="1136" w:type="dxa"/>
            <w:vAlign w:val="bottom"/>
          </w:tcPr>
          <w:p w14:paraId="5B8B9C92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CHD4</w:t>
            </w:r>
          </w:p>
        </w:tc>
        <w:tc>
          <w:tcPr>
            <w:tcW w:w="1912" w:type="dxa"/>
            <w:vAlign w:val="bottom"/>
          </w:tcPr>
          <w:p w14:paraId="16027591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12.674</w:t>
            </w:r>
          </w:p>
        </w:tc>
        <w:tc>
          <w:tcPr>
            <w:tcW w:w="1329" w:type="dxa"/>
            <w:vAlign w:val="bottom"/>
          </w:tcPr>
          <w:p w14:paraId="7764FE0F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0.107</w:t>
            </w:r>
          </w:p>
        </w:tc>
        <w:tc>
          <w:tcPr>
            <w:tcW w:w="1147" w:type="dxa"/>
            <w:vAlign w:val="bottom"/>
          </w:tcPr>
          <w:p w14:paraId="7873831A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0.015</w:t>
            </w:r>
          </w:p>
        </w:tc>
        <w:tc>
          <w:tcPr>
            <w:tcW w:w="1417" w:type="dxa"/>
            <w:vAlign w:val="bottom"/>
          </w:tcPr>
          <w:p w14:paraId="02796DD1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0.088</w:t>
            </w:r>
          </w:p>
        </w:tc>
        <w:tc>
          <w:tcPr>
            <w:tcW w:w="851" w:type="dxa"/>
            <w:vAlign w:val="bottom"/>
          </w:tcPr>
          <w:p w14:paraId="077697A9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0.889</w:t>
            </w:r>
          </w:p>
        </w:tc>
      </w:tr>
      <w:tr w:rsidR="006E2DAE" w:rsidRPr="001B6501" w14:paraId="6D116999" w14:textId="77777777" w:rsidTr="005E19E6">
        <w:tc>
          <w:tcPr>
            <w:tcW w:w="1136" w:type="dxa"/>
            <w:vAlign w:val="bottom"/>
          </w:tcPr>
          <w:p w14:paraId="3200D394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MXRA5</w:t>
            </w:r>
          </w:p>
        </w:tc>
        <w:tc>
          <w:tcPr>
            <w:tcW w:w="1912" w:type="dxa"/>
            <w:vAlign w:val="bottom"/>
          </w:tcPr>
          <w:p w14:paraId="64C1B5A5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11.579</w:t>
            </w:r>
          </w:p>
        </w:tc>
        <w:tc>
          <w:tcPr>
            <w:tcW w:w="1329" w:type="dxa"/>
            <w:vAlign w:val="bottom"/>
          </w:tcPr>
          <w:p w14:paraId="766275D2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0.306</w:t>
            </w:r>
          </w:p>
        </w:tc>
        <w:tc>
          <w:tcPr>
            <w:tcW w:w="1147" w:type="dxa"/>
            <w:vAlign w:val="bottom"/>
          </w:tcPr>
          <w:p w14:paraId="3A4EF54C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0.013</w:t>
            </w:r>
          </w:p>
        </w:tc>
        <w:tc>
          <w:tcPr>
            <w:tcW w:w="1417" w:type="dxa"/>
            <w:vAlign w:val="bottom"/>
          </w:tcPr>
          <w:p w14:paraId="02252FC4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0.613</w:t>
            </w:r>
          </w:p>
        </w:tc>
        <w:tc>
          <w:tcPr>
            <w:tcW w:w="851" w:type="dxa"/>
            <w:vAlign w:val="bottom"/>
          </w:tcPr>
          <w:p w14:paraId="67A62CCC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0.888</w:t>
            </w:r>
          </w:p>
        </w:tc>
      </w:tr>
      <w:tr w:rsidR="006E2DAE" w:rsidRPr="001B6501" w14:paraId="65933FF8" w14:textId="77777777" w:rsidTr="005E19E6">
        <w:tc>
          <w:tcPr>
            <w:tcW w:w="1136" w:type="dxa"/>
            <w:vAlign w:val="bottom"/>
          </w:tcPr>
          <w:p w14:paraId="500CFB1B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KDM5C</w:t>
            </w:r>
          </w:p>
        </w:tc>
        <w:tc>
          <w:tcPr>
            <w:tcW w:w="1912" w:type="dxa"/>
            <w:vAlign w:val="bottom"/>
          </w:tcPr>
          <w:p w14:paraId="1D0A23A3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11.520</w:t>
            </w:r>
          </w:p>
        </w:tc>
        <w:tc>
          <w:tcPr>
            <w:tcW w:w="1329" w:type="dxa"/>
            <w:vAlign w:val="bottom"/>
          </w:tcPr>
          <w:p w14:paraId="2905DC1D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0.149</w:t>
            </w:r>
          </w:p>
        </w:tc>
        <w:tc>
          <w:tcPr>
            <w:tcW w:w="1147" w:type="dxa"/>
            <w:vAlign w:val="bottom"/>
          </w:tcPr>
          <w:p w14:paraId="60DA0B57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0.017</w:t>
            </w:r>
          </w:p>
        </w:tc>
        <w:tc>
          <w:tcPr>
            <w:tcW w:w="1417" w:type="dxa"/>
            <w:vAlign w:val="bottom"/>
          </w:tcPr>
          <w:p w14:paraId="27F1FB66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n/a</w:t>
            </w:r>
          </w:p>
        </w:tc>
        <w:tc>
          <w:tcPr>
            <w:tcW w:w="851" w:type="dxa"/>
            <w:vAlign w:val="bottom"/>
          </w:tcPr>
          <w:p w14:paraId="09463606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0.884</w:t>
            </w:r>
          </w:p>
        </w:tc>
      </w:tr>
      <w:tr w:rsidR="006E2DAE" w:rsidRPr="001B6501" w14:paraId="686F08F2" w14:textId="77777777" w:rsidTr="005E19E6">
        <w:tc>
          <w:tcPr>
            <w:tcW w:w="1136" w:type="dxa"/>
            <w:vAlign w:val="bottom"/>
          </w:tcPr>
          <w:p w14:paraId="5D0A0B59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TP53</w:t>
            </w:r>
          </w:p>
        </w:tc>
        <w:tc>
          <w:tcPr>
            <w:tcW w:w="1912" w:type="dxa"/>
            <w:vAlign w:val="bottom"/>
          </w:tcPr>
          <w:p w14:paraId="656231A4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11.023</w:t>
            </w:r>
          </w:p>
        </w:tc>
        <w:tc>
          <w:tcPr>
            <w:tcW w:w="1329" w:type="dxa"/>
            <w:vAlign w:val="bottom"/>
          </w:tcPr>
          <w:p w14:paraId="03175864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0.151</w:t>
            </w:r>
          </w:p>
        </w:tc>
        <w:tc>
          <w:tcPr>
            <w:tcW w:w="1147" w:type="dxa"/>
            <w:vAlign w:val="bottom"/>
          </w:tcPr>
          <w:p w14:paraId="31A6B8D0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0.828</w:t>
            </w:r>
          </w:p>
        </w:tc>
        <w:tc>
          <w:tcPr>
            <w:tcW w:w="1417" w:type="dxa"/>
            <w:vAlign w:val="bottom"/>
          </w:tcPr>
          <w:p w14:paraId="640CDE27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n/a</w:t>
            </w:r>
          </w:p>
        </w:tc>
        <w:tc>
          <w:tcPr>
            <w:tcW w:w="851" w:type="dxa"/>
            <w:vAlign w:val="bottom"/>
          </w:tcPr>
          <w:p w14:paraId="5CB35FCC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0.875</w:t>
            </w:r>
          </w:p>
        </w:tc>
      </w:tr>
      <w:tr w:rsidR="006E2DAE" w:rsidRPr="001B6501" w14:paraId="498628A8" w14:textId="77777777" w:rsidTr="005E19E6">
        <w:tc>
          <w:tcPr>
            <w:tcW w:w="1136" w:type="dxa"/>
            <w:vAlign w:val="bottom"/>
          </w:tcPr>
          <w:p w14:paraId="06B72514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PRKDC</w:t>
            </w:r>
          </w:p>
        </w:tc>
        <w:tc>
          <w:tcPr>
            <w:tcW w:w="1912" w:type="dxa"/>
            <w:vAlign w:val="bottom"/>
          </w:tcPr>
          <w:p w14:paraId="3B1618BA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12.189</w:t>
            </w:r>
          </w:p>
        </w:tc>
        <w:tc>
          <w:tcPr>
            <w:tcW w:w="1329" w:type="dxa"/>
            <w:vAlign w:val="bottom"/>
          </w:tcPr>
          <w:p w14:paraId="59BF74B4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0.099</w:t>
            </w:r>
          </w:p>
        </w:tc>
        <w:tc>
          <w:tcPr>
            <w:tcW w:w="1147" w:type="dxa"/>
            <w:vAlign w:val="bottom"/>
          </w:tcPr>
          <w:p w14:paraId="20ED1521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0.015</w:t>
            </w:r>
          </w:p>
        </w:tc>
        <w:tc>
          <w:tcPr>
            <w:tcW w:w="1417" w:type="dxa"/>
            <w:vAlign w:val="bottom"/>
          </w:tcPr>
          <w:p w14:paraId="42505081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0.295</w:t>
            </w:r>
          </w:p>
        </w:tc>
        <w:tc>
          <w:tcPr>
            <w:tcW w:w="851" w:type="dxa"/>
            <w:vAlign w:val="bottom"/>
          </w:tcPr>
          <w:p w14:paraId="1E2D4393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0.867</w:t>
            </w:r>
          </w:p>
        </w:tc>
      </w:tr>
      <w:tr w:rsidR="006E2DAE" w:rsidRPr="001B6501" w14:paraId="5D916C7C" w14:textId="77777777" w:rsidTr="005E19E6">
        <w:tc>
          <w:tcPr>
            <w:tcW w:w="1136" w:type="dxa"/>
            <w:vAlign w:val="bottom"/>
          </w:tcPr>
          <w:p w14:paraId="3AD28F18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COL1A2</w:t>
            </w:r>
          </w:p>
        </w:tc>
        <w:tc>
          <w:tcPr>
            <w:tcW w:w="1912" w:type="dxa"/>
            <w:vAlign w:val="bottom"/>
          </w:tcPr>
          <w:p w14:paraId="3AC8724C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14.837</w:t>
            </w:r>
          </w:p>
        </w:tc>
        <w:tc>
          <w:tcPr>
            <w:tcW w:w="1329" w:type="dxa"/>
            <w:vAlign w:val="bottom"/>
          </w:tcPr>
          <w:p w14:paraId="36D59AA3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0.389</w:t>
            </w:r>
          </w:p>
        </w:tc>
        <w:tc>
          <w:tcPr>
            <w:tcW w:w="1147" w:type="dxa"/>
            <w:vAlign w:val="bottom"/>
          </w:tcPr>
          <w:p w14:paraId="3B9A2E91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0.009</w:t>
            </w:r>
          </w:p>
        </w:tc>
        <w:tc>
          <w:tcPr>
            <w:tcW w:w="1417" w:type="dxa"/>
            <w:vAlign w:val="bottom"/>
          </w:tcPr>
          <w:p w14:paraId="24F931DE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0.297</w:t>
            </w:r>
          </w:p>
        </w:tc>
        <w:tc>
          <w:tcPr>
            <w:tcW w:w="851" w:type="dxa"/>
            <w:vAlign w:val="bottom"/>
          </w:tcPr>
          <w:p w14:paraId="06FAC62D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0.858</w:t>
            </w:r>
          </w:p>
        </w:tc>
      </w:tr>
      <w:tr w:rsidR="006E2DAE" w:rsidRPr="001B6501" w14:paraId="25484EB9" w14:textId="77777777" w:rsidTr="005E19E6">
        <w:tc>
          <w:tcPr>
            <w:tcW w:w="1136" w:type="dxa"/>
            <w:vAlign w:val="bottom"/>
          </w:tcPr>
          <w:p w14:paraId="2EFBBD78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NOTCH2</w:t>
            </w:r>
          </w:p>
        </w:tc>
        <w:tc>
          <w:tcPr>
            <w:tcW w:w="1912" w:type="dxa"/>
            <w:vAlign w:val="bottom"/>
          </w:tcPr>
          <w:p w14:paraId="0AA07811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12.648</w:t>
            </w:r>
          </w:p>
        </w:tc>
        <w:tc>
          <w:tcPr>
            <w:tcW w:w="1329" w:type="dxa"/>
            <w:vAlign w:val="bottom"/>
          </w:tcPr>
          <w:p w14:paraId="492AE4FD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0.116</w:t>
            </w:r>
          </w:p>
        </w:tc>
        <w:tc>
          <w:tcPr>
            <w:tcW w:w="1147" w:type="dxa"/>
            <w:vAlign w:val="bottom"/>
          </w:tcPr>
          <w:p w14:paraId="0D9F9C53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0.011</w:t>
            </w:r>
          </w:p>
        </w:tc>
        <w:tc>
          <w:tcPr>
            <w:tcW w:w="1417" w:type="dxa"/>
            <w:vAlign w:val="bottom"/>
          </w:tcPr>
          <w:p w14:paraId="3F3CCA89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n/a</w:t>
            </w:r>
          </w:p>
        </w:tc>
        <w:tc>
          <w:tcPr>
            <w:tcW w:w="851" w:type="dxa"/>
            <w:vAlign w:val="bottom"/>
          </w:tcPr>
          <w:p w14:paraId="1A32ADF5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0.847</w:t>
            </w:r>
          </w:p>
        </w:tc>
      </w:tr>
      <w:tr w:rsidR="006E2DAE" w:rsidRPr="001B6501" w14:paraId="215FFE0A" w14:textId="77777777" w:rsidTr="005E19E6">
        <w:tc>
          <w:tcPr>
            <w:tcW w:w="1136" w:type="dxa"/>
            <w:vAlign w:val="bottom"/>
          </w:tcPr>
          <w:p w14:paraId="6200C3F4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MYH9</w:t>
            </w:r>
          </w:p>
        </w:tc>
        <w:tc>
          <w:tcPr>
            <w:tcW w:w="1912" w:type="dxa"/>
            <w:vAlign w:val="bottom"/>
          </w:tcPr>
          <w:p w14:paraId="526A630C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14.285</w:t>
            </w:r>
          </w:p>
        </w:tc>
        <w:tc>
          <w:tcPr>
            <w:tcW w:w="1329" w:type="dxa"/>
            <w:vAlign w:val="bottom"/>
          </w:tcPr>
          <w:p w14:paraId="5666A36B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0.087</w:t>
            </w:r>
          </w:p>
        </w:tc>
        <w:tc>
          <w:tcPr>
            <w:tcW w:w="1147" w:type="dxa"/>
            <w:vAlign w:val="bottom"/>
          </w:tcPr>
          <w:p w14:paraId="3A981477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0.011</w:t>
            </w:r>
          </w:p>
        </w:tc>
        <w:tc>
          <w:tcPr>
            <w:tcW w:w="1417" w:type="dxa"/>
            <w:vAlign w:val="bottom"/>
          </w:tcPr>
          <w:p w14:paraId="7755F5D7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0.661</w:t>
            </w:r>
          </w:p>
        </w:tc>
        <w:tc>
          <w:tcPr>
            <w:tcW w:w="851" w:type="dxa"/>
            <w:vAlign w:val="bottom"/>
          </w:tcPr>
          <w:p w14:paraId="37C5266D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0.829</w:t>
            </w:r>
          </w:p>
        </w:tc>
      </w:tr>
      <w:tr w:rsidR="006E2DAE" w:rsidRPr="001B6501" w14:paraId="3D23C659" w14:textId="77777777" w:rsidTr="005E19E6">
        <w:tc>
          <w:tcPr>
            <w:tcW w:w="1136" w:type="dxa"/>
            <w:vAlign w:val="bottom"/>
          </w:tcPr>
          <w:p w14:paraId="7AA18252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BPTF</w:t>
            </w:r>
          </w:p>
        </w:tc>
        <w:tc>
          <w:tcPr>
            <w:tcW w:w="1912" w:type="dxa"/>
            <w:vAlign w:val="bottom"/>
          </w:tcPr>
          <w:p w14:paraId="211188F0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10.742</w:t>
            </w:r>
          </w:p>
        </w:tc>
        <w:tc>
          <w:tcPr>
            <w:tcW w:w="1329" w:type="dxa"/>
            <w:vAlign w:val="bottom"/>
          </w:tcPr>
          <w:p w14:paraId="38BF307C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0.165</w:t>
            </w:r>
          </w:p>
        </w:tc>
        <w:tc>
          <w:tcPr>
            <w:tcW w:w="1147" w:type="dxa"/>
            <w:vAlign w:val="bottom"/>
          </w:tcPr>
          <w:p w14:paraId="19B3E1F6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0.013</w:t>
            </w:r>
          </w:p>
        </w:tc>
        <w:tc>
          <w:tcPr>
            <w:tcW w:w="1417" w:type="dxa"/>
            <w:vAlign w:val="bottom"/>
          </w:tcPr>
          <w:p w14:paraId="24F056D6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0.237</w:t>
            </w:r>
          </w:p>
        </w:tc>
        <w:tc>
          <w:tcPr>
            <w:tcW w:w="851" w:type="dxa"/>
            <w:vAlign w:val="bottom"/>
          </w:tcPr>
          <w:p w14:paraId="3340199F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0.814</w:t>
            </w:r>
          </w:p>
        </w:tc>
      </w:tr>
      <w:tr w:rsidR="006E2DAE" w:rsidRPr="001B6501" w14:paraId="06FC7033" w14:textId="77777777" w:rsidTr="005E19E6">
        <w:tc>
          <w:tcPr>
            <w:tcW w:w="1136" w:type="dxa"/>
            <w:vAlign w:val="bottom"/>
          </w:tcPr>
          <w:p w14:paraId="207D1927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AHNAK</w:t>
            </w:r>
          </w:p>
        </w:tc>
        <w:tc>
          <w:tcPr>
            <w:tcW w:w="1912" w:type="dxa"/>
            <w:vAlign w:val="bottom"/>
          </w:tcPr>
          <w:p w14:paraId="7A3AB851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13.883</w:t>
            </w:r>
          </w:p>
        </w:tc>
        <w:tc>
          <w:tcPr>
            <w:tcW w:w="1329" w:type="dxa"/>
            <w:vAlign w:val="bottom"/>
          </w:tcPr>
          <w:p w14:paraId="39BE02BF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0.048</w:t>
            </w:r>
          </w:p>
        </w:tc>
        <w:tc>
          <w:tcPr>
            <w:tcW w:w="1147" w:type="dxa"/>
            <w:vAlign w:val="bottom"/>
          </w:tcPr>
          <w:p w14:paraId="497C34E0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0.028</w:t>
            </w:r>
          </w:p>
        </w:tc>
        <w:tc>
          <w:tcPr>
            <w:tcW w:w="1417" w:type="dxa"/>
            <w:vAlign w:val="bottom"/>
          </w:tcPr>
          <w:p w14:paraId="3D0546E6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0.566</w:t>
            </w:r>
          </w:p>
        </w:tc>
        <w:tc>
          <w:tcPr>
            <w:tcW w:w="851" w:type="dxa"/>
            <w:vAlign w:val="bottom"/>
          </w:tcPr>
          <w:p w14:paraId="0E7DB103" w14:textId="77777777" w:rsidR="006E2DAE" w:rsidRPr="001B6501" w:rsidRDefault="006E2DAE" w:rsidP="001B650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1B6501">
              <w:rPr>
                <w:rFonts w:ascii="Arial" w:hAnsi="Arial" w:cs="Arial"/>
              </w:rPr>
              <w:t>0.813</w:t>
            </w:r>
          </w:p>
        </w:tc>
      </w:tr>
    </w:tbl>
    <w:p w14:paraId="394182CB" w14:textId="624E0486" w:rsidR="009245C3" w:rsidRPr="009245C3" w:rsidRDefault="009245C3" w:rsidP="001B6501">
      <w:pPr>
        <w:spacing w:line="360" w:lineRule="auto"/>
        <w:rPr>
          <w:rFonts w:ascii="Arial" w:hAnsi="Arial" w:cs="Arial"/>
        </w:rPr>
      </w:pPr>
      <w:r w:rsidRPr="009245C3">
        <w:rPr>
          <w:rFonts w:ascii="Arial" w:hAnsi="Arial" w:cs="Arial"/>
        </w:rPr>
        <w:t>Known HGSOC biology was recovered in complementary ways. MUC16 ranked first (score 0.988); it encodes CA-125 and was driven mainly by high transcriptomic and proteomic abundance rather than mutation. TP53 ranked 9th (score 0.875) with the opposite profile: its 82.8% mutation frequency supplied most of its evidence, consistent with TP53 being a defining recurrent alteration in HGSOC</w:t>
      </w:r>
      <w:r w:rsidR="0027265C">
        <w:rPr>
          <w:rFonts w:ascii="Arial" w:hAnsi="Arial" w:cs="Arial"/>
        </w:rPr>
        <w:t xml:space="preserve"> (Bell et al, 2011; Zhang et al., 2016)</w:t>
      </w:r>
      <w:r w:rsidRPr="009245C3">
        <w:rPr>
          <w:rFonts w:ascii="Arial" w:hAnsi="Arial" w:cs="Arial"/>
        </w:rPr>
        <w:t>. RB1 (43/751), KRAS (41/751), and NF1 (53/751) also appeared within roughly the top 7% of the full list.</w:t>
      </w:r>
    </w:p>
    <w:p w14:paraId="21438223" w14:textId="77777777" w:rsidR="009245C3" w:rsidRPr="009245C3" w:rsidRDefault="009245C3" w:rsidP="001B6501">
      <w:pPr>
        <w:spacing w:line="360" w:lineRule="auto"/>
        <w:rPr>
          <w:rFonts w:ascii="Arial" w:hAnsi="Arial" w:cs="Arial"/>
        </w:rPr>
      </w:pPr>
      <w:r w:rsidRPr="009245C3">
        <w:rPr>
          <w:rFonts w:ascii="Arial" w:hAnsi="Arial" w:cs="Arial"/>
        </w:rPr>
        <w:t>Not every known ovarian cancer gene could be recovered. BRCA1, BRCA2, MYC, and CCNE1 were absent from the 751-gene join because the 6,475-gene proteomic panel did not contain them. Their absence is therefore a coverage artifact rather than evidence against their biological relevance.</w:t>
      </w:r>
    </w:p>
    <w:p w14:paraId="133ED2C0" w14:textId="3846DFEF" w:rsidR="000006D5" w:rsidRPr="001B6501" w:rsidRDefault="009245C3" w:rsidP="001B6501">
      <w:pPr>
        <w:spacing w:line="360" w:lineRule="auto"/>
        <w:rPr>
          <w:rFonts w:ascii="Arial" w:hAnsi="Arial" w:cs="Arial"/>
        </w:rPr>
      </w:pPr>
      <w:r w:rsidRPr="009245C3">
        <w:rPr>
          <w:rFonts w:ascii="Arial" w:hAnsi="Arial" w:cs="Arial"/>
        </w:rPr>
        <w:t>A non-obvious pattern was the</w:t>
      </w:r>
      <w:r w:rsidR="00095487">
        <w:rPr>
          <w:rFonts w:ascii="Arial" w:hAnsi="Arial" w:cs="Arial"/>
        </w:rPr>
        <w:t xml:space="preserve"> visibility</w:t>
      </w:r>
      <w:r w:rsidRPr="009245C3">
        <w:rPr>
          <w:rFonts w:ascii="Arial" w:hAnsi="Arial" w:cs="Arial"/>
        </w:rPr>
        <w:t xml:space="preserve"> of extracellular-matrix genes, including COL6A3, COL3A1, COL1A2, FN1, and MXRA5. Their generally positive RNA-protein correlations </w:t>
      </w:r>
      <w:r w:rsidRPr="009245C3">
        <w:rPr>
          <w:rFonts w:ascii="Arial" w:hAnsi="Arial" w:cs="Arial"/>
        </w:rPr>
        <w:lastRenderedPageBreak/>
        <w:t xml:space="preserve">(approximately 0.29-0.71) suggest a coordinated signal. </w:t>
      </w:r>
      <w:r w:rsidR="00D22ABF" w:rsidRPr="001B6501">
        <w:rPr>
          <w:rFonts w:ascii="Arial" w:hAnsi="Arial" w:cs="Arial"/>
        </w:rPr>
        <w:t>In bulk HGSOC tissue, this signal could reflect the stroma-rich tumor microenvironment rather than tumor-cell-intrinsic driver activity. Therefore, these hits are biologically interesting but should not automatically be interpreted as therapeutic targets</w:t>
      </w:r>
      <w:r w:rsidR="00D30689">
        <w:rPr>
          <w:rFonts w:ascii="Arial" w:hAnsi="Arial" w:cs="Arial"/>
        </w:rPr>
        <w:t xml:space="preserve">. </w:t>
      </w:r>
    </w:p>
    <w:p w14:paraId="46D48C0A" w14:textId="2609F845" w:rsidR="00E676BD" w:rsidRPr="001B6501" w:rsidRDefault="007562C0" w:rsidP="001B650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1B6501">
        <w:rPr>
          <w:rFonts w:ascii="Arial" w:eastAsia="Times New Roman" w:hAnsi="Arial" w:cs="Arial"/>
          <w:b/>
          <w:bCs/>
          <w:kern w:val="0"/>
          <w14:ligatures w14:val="none"/>
        </w:rPr>
        <w:t>5.</w:t>
      </w:r>
      <w:r w:rsidR="00A7647E">
        <w:rPr>
          <w:rFonts w:ascii="Arial" w:eastAsia="Times New Roman" w:hAnsi="Arial" w:cs="Arial"/>
          <w:b/>
          <w:bCs/>
          <w:kern w:val="0"/>
          <w14:ligatures w14:val="none"/>
        </w:rPr>
        <w:t xml:space="preserve"> Discordance and Limitations</w:t>
      </w:r>
      <w:r w:rsidR="00E676BD" w:rsidRPr="001B650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</w:p>
    <w:p w14:paraId="0D25C4EC" w14:textId="428CEAAC" w:rsidR="00D30689" w:rsidRPr="00D30689" w:rsidRDefault="00D30689" w:rsidP="00D30689">
      <w:pPr>
        <w:spacing w:before="100" w:beforeAutospacing="1" w:after="100" w:afterAutospacing="1" w:line="360" w:lineRule="auto"/>
        <w:outlineLvl w:val="2"/>
        <w:rPr>
          <w:rFonts w:ascii="Arial" w:hAnsi="Arial" w:cs="Arial"/>
        </w:rPr>
      </w:pPr>
      <w:r w:rsidRPr="00D30689">
        <w:rPr>
          <w:rFonts w:ascii="Arial" w:hAnsi="Arial" w:cs="Arial"/>
        </w:rPr>
        <w:t xml:space="preserve">Because the RNA and protein data represent continuous abundance rather than signed tumor-vs-normal fold changes, a formal concordant/discordant classification based on direction was not appropriate. Instead, I used per-gene RNA-protein Spearman correlation across the 54 matched tumors as a measure of cross-layer agreement. CPN2 showed the lowest RNA-protein correlation (r = -0.18). Despite relatively high transcriptomic abundance, its multi-evidence score was only 0.375, so it was not a top-ranked target. This negative relationship may reflect post-transcriptional regulation, such as differences in mRNA stability, translation efficiency, or protein turnover, and illustrates why RNA abundance should not be treated as a direct </w:t>
      </w:r>
      <w:r w:rsidR="000C5BA3">
        <w:rPr>
          <w:rFonts w:ascii="Arial" w:hAnsi="Arial" w:cs="Arial"/>
        </w:rPr>
        <w:t>representative</w:t>
      </w:r>
      <w:r w:rsidRPr="00D30689">
        <w:rPr>
          <w:rFonts w:ascii="Arial" w:hAnsi="Arial" w:cs="Arial"/>
        </w:rPr>
        <w:t xml:space="preserve"> for protein abundance.</w:t>
      </w:r>
    </w:p>
    <w:p w14:paraId="7D00425C" w14:textId="77777777" w:rsidR="00D30689" w:rsidRPr="00D30689" w:rsidRDefault="00D30689" w:rsidP="00D30689">
      <w:pPr>
        <w:spacing w:before="100" w:beforeAutospacing="1" w:after="100" w:afterAutospacing="1" w:line="360" w:lineRule="auto"/>
        <w:outlineLvl w:val="2"/>
        <w:rPr>
          <w:rFonts w:ascii="Arial" w:hAnsi="Arial" w:cs="Arial"/>
        </w:rPr>
      </w:pPr>
      <w:r w:rsidRPr="00D30689">
        <w:rPr>
          <w:rFonts w:ascii="Arial" w:hAnsi="Arial" w:cs="Arial"/>
        </w:rPr>
        <w:t>Several limitations also affect interpretation of the ranking. First, the RNA and protein datasets lack a tumor/normal comparator, so their evidence reflects overall abundance rather than cancer-specific differential expression. Second, proteomic coverage was the main bottleneck: only 6,475 of 20,032 RNA-seq genes had protein measurements, excluding known ovarian cancer genes such as BRCA1, BRCA2, MYC, and CCNE1 from the final three-way join. Third, the mutation dataset was pre-filtered by MutSig2CV to 2,205 genes, potentially limiting genomic evidence for less recurrently altered genes. Finally, because these are bulk tumor measurements, stromal and tumor-cell signals cannot be separated, which is particularly relevant to the ECM-rich top hits discussed above.</w:t>
      </w:r>
    </w:p>
    <w:p w14:paraId="700FBF0B" w14:textId="06D5534D" w:rsidR="00772E3C" w:rsidRDefault="00772E3C" w:rsidP="00D52545">
      <w:pPr>
        <w:spacing w:before="100" w:beforeAutospacing="1" w:after="100" w:afterAutospacing="1" w:line="360" w:lineRule="auto"/>
        <w:outlineLvl w:val="2"/>
        <w:rPr>
          <w:rFonts w:ascii="Arial" w:hAnsi="Arial" w:cs="Arial" w:hint="eastAsia"/>
        </w:rPr>
      </w:pPr>
      <w:r w:rsidRPr="00772E3C">
        <w:rPr>
          <w:rFonts w:ascii="Arial" w:hAnsi="Arial" w:cs="Arial"/>
        </w:rPr>
        <w:t>Despite these limitations, the 54 matched tumors allow sample-level RNA-protein concordance to be evaluated directly, an advantage over unmatched cross-cohort integration.</w:t>
      </w:r>
    </w:p>
    <w:p w14:paraId="65771588" w14:textId="4742FDCF" w:rsidR="008A0220" w:rsidRPr="001B6501" w:rsidRDefault="008706A8" w:rsidP="001B650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1B6501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7.  References</w:t>
      </w:r>
    </w:p>
    <w:p w14:paraId="4F2B372B" w14:textId="1DB6BA86" w:rsidR="00897E59" w:rsidRPr="001B6501" w:rsidRDefault="00897E59" w:rsidP="001164D6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ascii="Arial" w:eastAsiaTheme="majorEastAsia" w:hAnsi="Arial" w:cs="Arial"/>
        </w:rPr>
      </w:pPr>
      <w:r w:rsidRPr="001B6501">
        <w:rPr>
          <w:rFonts w:ascii="Arial" w:hAnsi="Arial" w:cs="Arial"/>
        </w:rPr>
        <w:t xml:space="preserve">Bell, D., Berchuck, A., Birrer, M., Imielinski, M., Chien, J., Cramer, D. W., Dao, F., Levine, D. A., Olvera, N., Dhir, R., DiSaia, P., Gabra, H., Glenn, P., Smith-McCune, K., Godwin, A. K., Gross, J., Karlan, B. Y., Orsulic, S., Hartmann, L., . . . Thomson, E. (2011). Integrated genomic analyses of ovarian carcinoma. </w:t>
      </w:r>
      <w:r w:rsidRPr="001B6501">
        <w:rPr>
          <w:rFonts w:ascii="Arial" w:hAnsi="Arial" w:cs="Arial"/>
          <w:i/>
          <w:iCs/>
        </w:rPr>
        <w:t>Nature</w:t>
      </w:r>
      <w:r w:rsidRPr="001B6501">
        <w:rPr>
          <w:rFonts w:ascii="Arial" w:hAnsi="Arial" w:cs="Arial"/>
        </w:rPr>
        <w:t xml:space="preserve">, </w:t>
      </w:r>
      <w:r w:rsidRPr="001B6501">
        <w:rPr>
          <w:rFonts w:ascii="Arial" w:hAnsi="Arial" w:cs="Arial"/>
          <w:i/>
          <w:iCs/>
        </w:rPr>
        <w:t>474</w:t>
      </w:r>
      <w:r w:rsidRPr="001B6501">
        <w:rPr>
          <w:rFonts w:ascii="Arial" w:hAnsi="Arial" w:cs="Arial"/>
        </w:rPr>
        <w:t xml:space="preserve">(7353), 609–615. </w:t>
      </w:r>
      <w:hyperlink r:id="rId7" w:history="1">
        <w:r w:rsidR="001B6501" w:rsidRPr="001B6501">
          <w:rPr>
            <w:rStyle w:val="Hyperlink"/>
            <w:rFonts w:ascii="Arial" w:eastAsiaTheme="majorEastAsia" w:hAnsi="Arial" w:cs="Arial"/>
          </w:rPr>
          <w:t>https://doi.org/10.1038/nature10166</w:t>
        </w:r>
      </w:hyperlink>
    </w:p>
    <w:p w14:paraId="19334BC1" w14:textId="66C8EF65" w:rsidR="001B6501" w:rsidRPr="001B6501" w:rsidRDefault="001B6501" w:rsidP="001164D6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r w:rsidRPr="001B6501">
        <w:rPr>
          <w:rFonts w:ascii="Arial" w:hAnsi="Arial" w:cs="Arial"/>
        </w:rPr>
        <w:t xml:space="preserve">Ochoa, D., Hercules, A., Carmona, M., Suveges, D., Gonzalez-Uriarte, A., Malangone, C., Miranda, A., Fumis, L., Carvalho-Silva, D., Spitzer, M., Baker, J., Ferrer, J., Raies, A., Razuvayevskaya, O., Faulconbridge, A., Petsalaki, E., Mutowo, P., Machlitt-Northen, S., Peat, G., . . . McDonagh, E. M. (2020). Open Targets Platform: supporting systematic drug–target identification and prioritisation. </w:t>
      </w:r>
      <w:r w:rsidRPr="001B6501">
        <w:rPr>
          <w:rFonts w:ascii="Arial" w:hAnsi="Arial" w:cs="Arial"/>
          <w:i/>
          <w:iCs/>
        </w:rPr>
        <w:t>Nucleic Acids Research</w:t>
      </w:r>
      <w:r w:rsidRPr="001B6501">
        <w:rPr>
          <w:rFonts w:ascii="Arial" w:hAnsi="Arial" w:cs="Arial"/>
        </w:rPr>
        <w:t xml:space="preserve">, </w:t>
      </w:r>
      <w:r w:rsidRPr="001B6501">
        <w:rPr>
          <w:rFonts w:ascii="Arial" w:hAnsi="Arial" w:cs="Arial"/>
          <w:i/>
          <w:iCs/>
        </w:rPr>
        <w:t>49</w:t>
      </w:r>
      <w:r w:rsidRPr="001B6501">
        <w:rPr>
          <w:rFonts w:ascii="Arial" w:hAnsi="Arial" w:cs="Arial"/>
        </w:rPr>
        <w:t xml:space="preserve">(D1), D1302–D1310. </w:t>
      </w:r>
      <w:hyperlink r:id="rId8" w:history="1">
        <w:r w:rsidRPr="001B6501">
          <w:rPr>
            <w:rStyle w:val="Hyperlink"/>
            <w:rFonts w:ascii="Arial" w:eastAsiaTheme="majorEastAsia" w:hAnsi="Arial" w:cs="Arial"/>
          </w:rPr>
          <w:t>https://doi.org/10.1093/nar/gkaa1027</w:t>
        </w:r>
      </w:hyperlink>
    </w:p>
    <w:p w14:paraId="14590045" w14:textId="225C176A" w:rsidR="00897E59" w:rsidRPr="001B6501" w:rsidRDefault="002B5290" w:rsidP="001164D6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ascii="Arial" w:eastAsiaTheme="majorEastAsia" w:hAnsi="Arial" w:cs="Arial"/>
        </w:rPr>
      </w:pPr>
      <w:r w:rsidRPr="001B6501">
        <w:rPr>
          <w:rFonts w:ascii="Arial" w:hAnsi="Arial" w:cs="Arial"/>
        </w:rPr>
        <w:t xml:space="preserve">Vasaikar, S. V., Straub, P., Wang, J., &amp; Zhang, B. (2017). LinkedOmics: analyzing multi-omics data within and across 32 cancer types. </w:t>
      </w:r>
      <w:r w:rsidRPr="001B6501">
        <w:rPr>
          <w:rFonts w:ascii="Arial" w:hAnsi="Arial" w:cs="Arial"/>
          <w:i/>
          <w:iCs/>
        </w:rPr>
        <w:t>Nucleic Acids Research</w:t>
      </w:r>
      <w:r w:rsidRPr="001B6501">
        <w:rPr>
          <w:rFonts w:ascii="Arial" w:hAnsi="Arial" w:cs="Arial"/>
        </w:rPr>
        <w:t xml:space="preserve">, </w:t>
      </w:r>
      <w:r w:rsidRPr="001B6501">
        <w:rPr>
          <w:rFonts w:ascii="Arial" w:hAnsi="Arial" w:cs="Arial"/>
          <w:i/>
          <w:iCs/>
        </w:rPr>
        <w:t>46</w:t>
      </w:r>
      <w:r w:rsidRPr="001B6501">
        <w:rPr>
          <w:rFonts w:ascii="Arial" w:hAnsi="Arial" w:cs="Arial"/>
        </w:rPr>
        <w:t xml:space="preserve">(D1), D956–D963. </w:t>
      </w:r>
      <w:hyperlink r:id="rId9" w:history="1">
        <w:r w:rsidR="001B6501" w:rsidRPr="001B6501">
          <w:rPr>
            <w:rStyle w:val="Hyperlink"/>
            <w:rFonts w:ascii="Arial" w:eastAsiaTheme="majorEastAsia" w:hAnsi="Arial" w:cs="Arial"/>
          </w:rPr>
          <w:t>https://doi.org/10.1093/nar/gkx1090</w:t>
        </w:r>
      </w:hyperlink>
    </w:p>
    <w:p w14:paraId="5D84945F" w14:textId="22461A9E" w:rsidR="00005169" w:rsidRPr="001B6501" w:rsidRDefault="00005169" w:rsidP="001164D6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ascii="Arial" w:eastAsiaTheme="majorEastAsia" w:hAnsi="Arial" w:cs="Arial"/>
        </w:rPr>
      </w:pPr>
      <w:r w:rsidRPr="001B6501">
        <w:rPr>
          <w:rFonts w:ascii="Arial" w:hAnsi="Arial" w:cs="Arial"/>
        </w:rPr>
        <w:t xml:space="preserve">Zhang, H., Liu, T., Zhang, Z., Payne, S. H., Zhang, B., McDermott, J. E., Zhou, J., Petyuk, V. A., Chen, L., Ray, D., Sun, S., Yang, F., Chen, L., Wang, J., Shah, P., Cha, S. W., Aiyetan, P., Woo, S., Tian, Y., . . . Townsend, R. R. (2016). Integrated proteogenomic characterization of human High-Grade Serous Ovarian Cancer. </w:t>
      </w:r>
      <w:r w:rsidRPr="001B6501">
        <w:rPr>
          <w:rFonts w:ascii="Arial" w:hAnsi="Arial" w:cs="Arial"/>
          <w:i/>
          <w:iCs/>
        </w:rPr>
        <w:t>Cell</w:t>
      </w:r>
      <w:r w:rsidRPr="001B6501">
        <w:rPr>
          <w:rFonts w:ascii="Arial" w:hAnsi="Arial" w:cs="Arial"/>
        </w:rPr>
        <w:t xml:space="preserve">, </w:t>
      </w:r>
      <w:r w:rsidRPr="001B6501">
        <w:rPr>
          <w:rFonts w:ascii="Arial" w:hAnsi="Arial" w:cs="Arial"/>
          <w:i/>
          <w:iCs/>
        </w:rPr>
        <w:t>166</w:t>
      </w:r>
      <w:r w:rsidRPr="001B6501">
        <w:rPr>
          <w:rFonts w:ascii="Arial" w:hAnsi="Arial" w:cs="Arial"/>
        </w:rPr>
        <w:t xml:space="preserve">(3), 755–765. </w:t>
      </w:r>
      <w:hyperlink r:id="rId10" w:history="1">
        <w:r w:rsidR="001B6501" w:rsidRPr="001B6501">
          <w:rPr>
            <w:rStyle w:val="Hyperlink"/>
            <w:rFonts w:ascii="Arial" w:eastAsiaTheme="majorEastAsia" w:hAnsi="Arial" w:cs="Arial"/>
          </w:rPr>
          <w:t>https://doi.org/10.1016/j.cell.2016.05.069</w:t>
        </w:r>
      </w:hyperlink>
    </w:p>
    <w:p w14:paraId="74B3305F" w14:textId="77777777" w:rsidR="001B6501" w:rsidRPr="001B6501" w:rsidRDefault="001B6501" w:rsidP="001164D6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</w:p>
    <w:p w14:paraId="4F8DBD37" w14:textId="458BFDE5" w:rsidR="001F085A" w:rsidRPr="001B6501" w:rsidRDefault="001F085A" w:rsidP="001B6501">
      <w:pPr>
        <w:spacing w:line="360" w:lineRule="auto"/>
        <w:rPr>
          <w:rFonts w:ascii="Arial" w:hAnsi="Arial" w:cs="Arial" w:hint="eastAsia"/>
        </w:rPr>
      </w:pPr>
    </w:p>
    <w:sectPr w:rsidR="001F085A" w:rsidRPr="001B6501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4A04B" w14:textId="77777777" w:rsidR="00361537" w:rsidRDefault="00361537" w:rsidP="008706A8">
      <w:pPr>
        <w:spacing w:after="0" w:line="240" w:lineRule="auto"/>
      </w:pPr>
      <w:r>
        <w:separator/>
      </w:r>
    </w:p>
  </w:endnote>
  <w:endnote w:type="continuationSeparator" w:id="0">
    <w:p w14:paraId="5657F551" w14:textId="77777777" w:rsidR="00361537" w:rsidRDefault="00361537" w:rsidP="00870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ABE2D" w14:textId="77777777" w:rsidR="00361537" w:rsidRDefault="00361537" w:rsidP="008706A8">
      <w:pPr>
        <w:spacing w:after="0" w:line="240" w:lineRule="auto"/>
      </w:pPr>
      <w:r>
        <w:separator/>
      </w:r>
    </w:p>
  </w:footnote>
  <w:footnote w:type="continuationSeparator" w:id="0">
    <w:p w14:paraId="70D85D9D" w14:textId="77777777" w:rsidR="00361537" w:rsidRDefault="00361537" w:rsidP="00870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77280" w14:textId="72EAE419" w:rsidR="008706A8" w:rsidRPr="008706A8" w:rsidRDefault="008706A8" w:rsidP="008706A8">
    <w:pPr>
      <w:pStyle w:val="Header"/>
      <w:jc w:val="right"/>
      <w:rPr>
        <w:rFonts w:ascii="Arial" w:hAnsi="Arial" w:cs="Arial"/>
        <w:sz w:val="22"/>
        <w:szCs w:val="22"/>
      </w:rPr>
    </w:pPr>
    <w:r w:rsidRPr="008706A8">
      <w:rPr>
        <w:rFonts w:ascii="Arial" w:hAnsi="Arial" w:cs="Arial"/>
        <w:sz w:val="22"/>
        <w:szCs w:val="22"/>
      </w:rPr>
      <w:t>BIOT 6900 Module 2 Assignment Report</w:t>
    </w:r>
  </w:p>
  <w:p w14:paraId="10EE8607" w14:textId="776B11D4" w:rsidR="008706A8" w:rsidRPr="008706A8" w:rsidRDefault="008706A8" w:rsidP="008706A8">
    <w:pPr>
      <w:pStyle w:val="Header"/>
      <w:jc w:val="right"/>
      <w:rPr>
        <w:rFonts w:ascii="Arial" w:hAnsi="Arial" w:cs="Arial"/>
        <w:sz w:val="22"/>
        <w:szCs w:val="22"/>
      </w:rPr>
    </w:pPr>
    <w:r w:rsidRPr="008706A8">
      <w:rPr>
        <w:rFonts w:ascii="Arial" w:hAnsi="Arial" w:cs="Arial"/>
        <w:sz w:val="22"/>
        <w:szCs w:val="22"/>
      </w:rPr>
      <w:t>Jiin Heo (002596316), MS Biotechnology</w:t>
    </w:r>
  </w:p>
  <w:p w14:paraId="1C79486D" w14:textId="0FCD51DF" w:rsidR="008706A8" w:rsidRPr="008706A8" w:rsidRDefault="008706A8" w:rsidP="008706A8">
    <w:pPr>
      <w:pStyle w:val="Header"/>
      <w:jc w:val="right"/>
      <w:rPr>
        <w:rFonts w:ascii="Arial" w:hAnsi="Arial" w:cs="Arial"/>
        <w:sz w:val="22"/>
        <w:szCs w:val="22"/>
      </w:rPr>
    </w:pPr>
    <w:r w:rsidRPr="008706A8">
      <w:rPr>
        <w:rFonts w:ascii="Arial" w:hAnsi="Arial" w:cs="Arial"/>
        <w:sz w:val="22"/>
        <w:szCs w:val="22"/>
      </w:rPr>
      <w:t>09/2</w:t>
    </w:r>
    <w:r w:rsidR="007F769F">
      <w:rPr>
        <w:rFonts w:ascii="Arial" w:hAnsi="Arial" w:cs="Arial" w:hint="eastAsia"/>
        <w:sz w:val="22"/>
        <w:szCs w:val="22"/>
      </w:rPr>
      <w:t>2</w:t>
    </w:r>
    <w:r w:rsidRPr="008706A8">
      <w:rPr>
        <w:rFonts w:ascii="Arial" w:hAnsi="Arial" w:cs="Arial"/>
        <w:sz w:val="22"/>
        <w:szCs w:val="22"/>
      </w:rPr>
      <w:t>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3FE"/>
    <w:multiLevelType w:val="multilevel"/>
    <w:tmpl w:val="B6E8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A1DCA"/>
    <w:multiLevelType w:val="multilevel"/>
    <w:tmpl w:val="0EF6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D024B"/>
    <w:multiLevelType w:val="hybridMultilevel"/>
    <w:tmpl w:val="0C382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225FC"/>
    <w:multiLevelType w:val="hybridMultilevel"/>
    <w:tmpl w:val="6D5CD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8B5AEB"/>
    <w:multiLevelType w:val="multilevel"/>
    <w:tmpl w:val="6CB8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63DD5"/>
    <w:multiLevelType w:val="hybridMultilevel"/>
    <w:tmpl w:val="9F503536"/>
    <w:lvl w:ilvl="0" w:tplc="DA241A96">
      <w:start w:val="1"/>
      <w:numFmt w:val="bullet"/>
      <w:lvlText w:val="•"/>
      <w:lvlJc w:val="left"/>
      <w:pPr>
        <w:ind w:left="360" w:hanging="360"/>
      </w:pPr>
    </w:lvl>
    <w:lvl w:ilvl="1" w:tplc="2B3E6342">
      <w:start w:val="1"/>
      <w:numFmt w:val="bullet"/>
      <w:lvlText w:val="◦"/>
      <w:lvlJc w:val="left"/>
      <w:pPr>
        <w:ind w:left="720" w:hanging="360"/>
      </w:pPr>
    </w:lvl>
    <w:lvl w:ilvl="2" w:tplc="6A6AEA22">
      <w:numFmt w:val="decimal"/>
      <w:lvlText w:val=""/>
      <w:lvlJc w:val="left"/>
    </w:lvl>
    <w:lvl w:ilvl="3" w:tplc="C8B2E130">
      <w:numFmt w:val="decimal"/>
      <w:lvlText w:val=""/>
      <w:lvlJc w:val="left"/>
    </w:lvl>
    <w:lvl w:ilvl="4" w:tplc="7AD856AA">
      <w:numFmt w:val="decimal"/>
      <w:lvlText w:val=""/>
      <w:lvlJc w:val="left"/>
    </w:lvl>
    <w:lvl w:ilvl="5" w:tplc="0C3CD100">
      <w:numFmt w:val="decimal"/>
      <w:lvlText w:val=""/>
      <w:lvlJc w:val="left"/>
    </w:lvl>
    <w:lvl w:ilvl="6" w:tplc="9E1C37E4">
      <w:numFmt w:val="decimal"/>
      <w:lvlText w:val=""/>
      <w:lvlJc w:val="left"/>
    </w:lvl>
    <w:lvl w:ilvl="7" w:tplc="742425C8">
      <w:numFmt w:val="decimal"/>
      <w:lvlText w:val=""/>
      <w:lvlJc w:val="left"/>
    </w:lvl>
    <w:lvl w:ilvl="8" w:tplc="F1DC093A">
      <w:numFmt w:val="decimal"/>
      <w:lvlText w:val=""/>
      <w:lvlJc w:val="left"/>
    </w:lvl>
  </w:abstractNum>
  <w:abstractNum w:abstractNumId="6" w15:restartNumberingAfterBreak="0">
    <w:nsid w:val="52431939"/>
    <w:multiLevelType w:val="multilevel"/>
    <w:tmpl w:val="A1F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F62E3"/>
    <w:multiLevelType w:val="multilevel"/>
    <w:tmpl w:val="E04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01CCA"/>
    <w:multiLevelType w:val="hybridMultilevel"/>
    <w:tmpl w:val="8C24D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8010BE"/>
    <w:multiLevelType w:val="multilevel"/>
    <w:tmpl w:val="EFA2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B284F"/>
    <w:multiLevelType w:val="multilevel"/>
    <w:tmpl w:val="2E4E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011022">
    <w:abstractNumId w:val="2"/>
  </w:num>
  <w:num w:numId="2" w16cid:durableId="1279410945">
    <w:abstractNumId w:val="3"/>
  </w:num>
  <w:num w:numId="3" w16cid:durableId="1939752367">
    <w:abstractNumId w:val="4"/>
  </w:num>
  <w:num w:numId="4" w16cid:durableId="202638321">
    <w:abstractNumId w:val="1"/>
  </w:num>
  <w:num w:numId="5" w16cid:durableId="2003845806">
    <w:abstractNumId w:val="7"/>
  </w:num>
  <w:num w:numId="6" w16cid:durableId="2016033137">
    <w:abstractNumId w:val="6"/>
  </w:num>
  <w:num w:numId="7" w16cid:durableId="1980262556">
    <w:abstractNumId w:val="10"/>
  </w:num>
  <w:num w:numId="8" w16cid:durableId="420108223">
    <w:abstractNumId w:val="9"/>
  </w:num>
  <w:num w:numId="9" w16cid:durableId="997155151">
    <w:abstractNumId w:val="0"/>
  </w:num>
  <w:num w:numId="10" w16cid:durableId="1609385171">
    <w:abstractNumId w:val="5"/>
    <w:lvlOverride w:ilvl="0">
      <w:startOverride w:val="1"/>
    </w:lvlOverride>
  </w:num>
  <w:num w:numId="11" w16cid:durableId="11772354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534"/>
    <w:rsid w:val="000006D5"/>
    <w:rsid w:val="00005169"/>
    <w:rsid w:val="00036534"/>
    <w:rsid w:val="00095487"/>
    <w:rsid w:val="000A13CA"/>
    <w:rsid w:val="000C5BA3"/>
    <w:rsid w:val="000C706A"/>
    <w:rsid w:val="001164D6"/>
    <w:rsid w:val="001B6501"/>
    <w:rsid w:val="001F085A"/>
    <w:rsid w:val="0027265C"/>
    <w:rsid w:val="002B5290"/>
    <w:rsid w:val="003432D2"/>
    <w:rsid w:val="00361537"/>
    <w:rsid w:val="003654F6"/>
    <w:rsid w:val="004F5DA6"/>
    <w:rsid w:val="005012A4"/>
    <w:rsid w:val="005521EC"/>
    <w:rsid w:val="005E19E6"/>
    <w:rsid w:val="006603AE"/>
    <w:rsid w:val="006E2DAE"/>
    <w:rsid w:val="007562C0"/>
    <w:rsid w:val="00770EF8"/>
    <w:rsid w:val="00772E3C"/>
    <w:rsid w:val="007A122C"/>
    <w:rsid w:val="007D6554"/>
    <w:rsid w:val="007F769F"/>
    <w:rsid w:val="0082777E"/>
    <w:rsid w:val="008706A8"/>
    <w:rsid w:val="00897E59"/>
    <w:rsid w:val="008A0220"/>
    <w:rsid w:val="008A2253"/>
    <w:rsid w:val="009245C3"/>
    <w:rsid w:val="00964E48"/>
    <w:rsid w:val="009B39D4"/>
    <w:rsid w:val="00A3781C"/>
    <w:rsid w:val="00A43235"/>
    <w:rsid w:val="00A7647E"/>
    <w:rsid w:val="00B05631"/>
    <w:rsid w:val="00B766A1"/>
    <w:rsid w:val="00BD1214"/>
    <w:rsid w:val="00C438C2"/>
    <w:rsid w:val="00C47979"/>
    <w:rsid w:val="00C936F9"/>
    <w:rsid w:val="00CC711E"/>
    <w:rsid w:val="00D22ABF"/>
    <w:rsid w:val="00D30689"/>
    <w:rsid w:val="00D52545"/>
    <w:rsid w:val="00DB2CF0"/>
    <w:rsid w:val="00DE4B10"/>
    <w:rsid w:val="00E676BD"/>
    <w:rsid w:val="00EB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F70F83"/>
  <w15:chartTrackingRefBased/>
  <w15:docId w15:val="{482FDDA0-8C67-F442-90ED-4A44A5DEE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6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6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53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36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5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62C0"/>
    <w:rPr>
      <w:b/>
      <w:bCs/>
    </w:rPr>
  </w:style>
  <w:style w:type="character" w:styleId="Emphasis">
    <w:name w:val="Emphasis"/>
    <w:basedOn w:val="DefaultParagraphFont"/>
    <w:uiPriority w:val="20"/>
    <w:qFormat/>
    <w:rsid w:val="007562C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706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6A8"/>
  </w:style>
  <w:style w:type="paragraph" w:styleId="Footer">
    <w:name w:val="footer"/>
    <w:basedOn w:val="Normal"/>
    <w:link w:val="FooterChar"/>
    <w:uiPriority w:val="99"/>
    <w:unhideWhenUsed/>
    <w:rsid w:val="008706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6A8"/>
  </w:style>
  <w:style w:type="character" w:customStyle="1" w:styleId="url">
    <w:name w:val="url"/>
    <w:basedOn w:val="DefaultParagraphFont"/>
    <w:rsid w:val="00005169"/>
  </w:style>
  <w:style w:type="character" w:styleId="Hyperlink">
    <w:name w:val="Hyperlink"/>
    <w:basedOn w:val="DefaultParagraphFont"/>
    <w:uiPriority w:val="99"/>
    <w:unhideWhenUsed/>
    <w:rsid w:val="001B65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5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93/nar/gkaa102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038/nature1016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oi.org/10.1016/j.cell.2016.05.06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93/nar/gkx1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1289</Words>
  <Characters>7351</Characters>
  <Application>Microsoft Office Word</Application>
  <DocSecurity>0</DocSecurity>
  <Lines>61</Lines>
  <Paragraphs>17</Paragraphs>
  <ScaleCrop>false</ScaleCrop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Heo, Jiin</dc:creator>
  <cp:keywords/>
  <dc:description/>
  <cp:lastModifiedBy>Heo, Jiin</cp:lastModifiedBy>
  <cp:revision>44</cp:revision>
  <dcterms:created xsi:type="dcterms:W3CDTF">2026-09-18T02:45:00Z</dcterms:created>
  <dcterms:modified xsi:type="dcterms:W3CDTF">2026-09-23T01:55:00Z</dcterms:modified>
</cp:coreProperties>
</file>