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DS4200 Project Description:</w:t>
      </w:r>
    </w:p>
    <w:p w:rsidR="00000000" w:rsidDel="00000000" w:rsidP="00000000" w:rsidRDefault="00000000" w:rsidRPr="00000000" w14:paraId="00000002">
      <w:pPr>
        <w:rPr>
          <w:rFonts w:ascii="Lato" w:cs="Lato" w:eastAsia="Lato" w:hAnsi="Lato"/>
          <w:b w:val="1"/>
          <w:bCs w:val="1"/>
          <w:color w:val="273540"/>
          <w:sz w:val="24"/>
          <w:szCs w:val="24"/>
          <w:highlight w:val="white"/>
          <w:u w:val="single"/>
        </w:rPr>
      </w:pPr>
      <w:r w:rsidDel="00000000" w:rsidR="00000000" w:rsidRPr="00000000">
        <w:rPr>
          <w:rFonts w:ascii="Lato" w:cs="Lato" w:eastAsia="Lato" w:hAnsi="Lato"/>
          <w:color w:val="273540"/>
          <w:sz w:val="24"/>
          <w:szCs w:val="24"/>
          <w:highlight w:val="white"/>
          <w:rtl w:val="0"/>
        </w:rPr>
        <w:t xml:space="preserve">Project website link: </w:t>
      </w:r>
      <w:hyperlink r:id="rId6">
        <w:r w:rsidDel="00000000" w:rsidR="00000000" w:rsidRPr="00000000">
          <w:rPr>
            <w:rFonts w:ascii="Lato" w:cs="Lato" w:eastAsia="Lato" w:hAnsi="Lato"/>
            <w:color w:val="1155cc"/>
            <w:sz w:val="24"/>
            <w:szCs w:val="24"/>
            <w:highlight w:val="white"/>
            <w:u w:val="single"/>
            <w:rtl w:val="0"/>
          </w:rPr>
          <w:t xml:space="preserve">https://jiissung.github.io/DS4200project/index.html</w:t>
        </w:r>
      </w:hyperlink>
      <w:r w:rsidDel="00000000" w:rsidR="00000000" w:rsidRPr="00000000">
        <w:rPr>
          <w:rFonts w:ascii="Lato" w:cs="Lato" w:eastAsia="Lato" w:hAnsi="Lato"/>
          <w:color w:val="273540"/>
          <w:sz w:val="24"/>
          <w:szCs w:val="24"/>
          <w:highlight w:val="white"/>
          <w:rtl w:val="0"/>
        </w:rPr>
        <w:t xml:space="preserve"> </w:t>
      </w:r>
      <w:r w:rsidDel="00000000" w:rsidR="00000000" w:rsidRPr="00000000">
        <w:rPr>
          <w:rtl w:val="0"/>
        </w:rPr>
      </w:r>
    </w:p>
    <w:p w:rsidR="00000000" w:rsidDel="00000000" w:rsidP="00000000" w:rsidRDefault="00000000" w:rsidRPr="00000000" w14:paraId="00000003">
      <w:pPr>
        <w:rPr>
          <w:rFonts w:ascii="Lato" w:cs="Lato" w:eastAsia="Lato" w:hAnsi="Lato"/>
          <w:color w:val="273540"/>
          <w:sz w:val="24"/>
          <w:szCs w:val="24"/>
          <w:highlight w:val="white"/>
        </w:rPr>
      </w:pPr>
      <w:r w:rsidDel="00000000" w:rsidR="00000000" w:rsidRPr="00000000">
        <w:rPr>
          <w:rtl w:val="0"/>
        </w:rPr>
      </w:r>
    </w:p>
    <w:p w:rsidR="00000000" w:rsidDel="00000000" w:rsidP="00000000" w:rsidRDefault="00000000" w:rsidRPr="00000000" w14:paraId="00000004">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Notes to the grading TA:</w:t>
      </w:r>
    </w:p>
    <w:p w:rsidR="00000000" w:rsidDel="00000000" w:rsidP="00000000" w:rsidRDefault="00000000" w:rsidRPr="00000000" w14:paraId="00000005">
      <w:pPr>
        <w:rPr>
          <w:rFonts w:ascii="Lato" w:cs="Lato" w:eastAsia="Lato" w:hAnsi="Lato"/>
          <w:color w:val="273540"/>
          <w:sz w:val="24"/>
          <w:szCs w:val="24"/>
          <w:highlight w:val="white"/>
        </w:rPr>
      </w:pPr>
      <w:r w:rsidDel="00000000" w:rsidR="00000000" w:rsidRPr="00000000">
        <w:rPr>
          <w:rtl w:val="0"/>
        </w:rPr>
      </w:r>
    </w:p>
    <w:p w:rsidR="00000000" w:rsidDel="00000000" w:rsidP="00000000" w:rsidRDefault="00000000" w:rsidRPr="00000000" w14:paraId="00000006">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Design ideas:</w:t>
      </w:r>
    </w:p>
    <w:p w:rsidR="00000000" w:rsidDel="00000000" w:rsidP="00000000" w:rsidRDefault="00000000" w:rsidRPr="00000000" w14:paraId="00000007">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1. Correlation Heatmap </w:t>
      </w:r>
    </w:p>
    <w:p w:rsidR="00000000" w:rsidDel="00000000" w:rsidP="00000000" w:rsidRDefault="00000000" w:rsidRPr="00000000" w14:paraId="00000008">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Our first visualization is a correlation heatmap that provides an overview of relationships between student performance factors. It is placed at the beginning to give a better understanding of which variables are most strongly associated with exam scores. The primary mark is area (cells), and color encodes the strength and direction of correlations. A diverging color scale is used to distinguish positive and negative relationships between variables. This visualization highlights that attendance and hours studied have the strongest positive correlation with exam scores. </w:t>
      </w:r>
    </w:p>
    <w:p w:rsidR="00000000" w:rsidDel="00000000" w:rsidP="00000000" w:rsidRDefault="00000000" w:rsidRPr="00000000" w14:paraId="00000009">
      <w:pPr>
        <w:rPr>
          <w:rFonts w:ascii="Lato" w:cs="Lato" w:eastAsia="Lato" w:hAnsi="Lato"/>
          <w:color w:val="273540"/>
          <w:sz w:val="24"/>
          <w:szCs w:val="24"/>
          <w:highlight w:val="white"/>
        </w:rPr>
      </w:pPr>
      <w:r w:rsidDel="00000000" w:rsidR="00000000" w:rsidRPr="00000000">
        <w:rPr>
          <w:rtl w:val="0"/>
        </w:rPr>
      </w:r>
    </w:p>
    <w:p w:rsidR="00000000" w:rsidDel="00000000" w:rsidP="00000000" w:rsidRDefault="00000000" w:rsidRPr="00000000" w14:paraId="0000000A">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2. Scatter Plot (Interactive)</w:t>
      </w:r>
    </w:p>
    <w:p w:rsidR="00000000" w:rsidDel="00000000" w:rsidP="00000000" w:rsidRDefault="00000000" w:rsidRPr="00000000" w14:paraId="0000000B">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The second visualization explores relationships between selected continuous variables (such as hours studied and tutoring sessions) and exam scores. This builds on the correlation heatmap by examining these relationships in more detail. The primary mark is point, and the channels are horizontal position (factor value) and vertical position (exam score). This, combined with interactions allowing us to change between variables and the type of attendance group, allows us to observe trends and patterns, showing that increases in hours studied and tutoring sessions are associated with higher scores. </w:t>
      </w:r>
    </w:p>
    <w:p w:rsidR="00000000" w:rsidDel="00000000" w:rsidP="00000000" w:rsidRDefault="00000000" w:rsidRPr="00000000" w14:paraId="0000000C">
      <w:pPr>
        <w:rPr>
          <w:rFonts w:ascii="Lato" w:cs="Lato" w:eastAsia="Lato" w:hAnsi="Lato"/>
          <w:color w:val="273540"/>
          <w:sz w:val="24"/>
          <w:szCs w:val="24"/>
          <w:highlight w:val="white"/>
        </w:rPr>
      </w:pPr>
      <w:r w:rsidDel="00000000" w:rsidR="00000000" w:rsidRPr="00000000">
        <w:rPr>
          <w:rtl w:val="0"/>
        </w:rPr>
      </w:r>
    </w:p>
    <w:p w:rsidR="00000000" w:rsidDel="00000000" w:rsidP="00000000" w:rsidRDefault="00000000" w:rsidRPr="00000000" w14:paraId="0000000D">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3. Box Plot (Interactive)</w:t>
      </w:r>
    </w:p>
    <w:p w:rsidR="00000000" w:rsidDel="00000000" w:rsidP="00000000" w:rsidRDefault="00000000" w:rsidRPr="00000000" w14:paraId="0000000E">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The third visualization examines how categorical variables (such as attendance, parental involvement, access to resources, and motivation level) affect exam scores. The mark is the boxplot, and the channels are position (categories on the x-axis and scores on the y-axis). Interactions that change the factor and attendance group from this visualization highlight that attendance has the strongest and most consistent effect on performance, while other categorical factors show more overlap and variability. </w:t>
      </w:r>
    </w:p>
    <w:p w:rsidR="00000000" w:rsidDel="00000000" w:rsidP="00000000" w:rsidRDefault="00000000" w:rsidRPr="00000000" w14:paraId="0000000F">
      <w:pPr>
        <w:rPr>
          <w:rFonts w:ascii="Lato" w:cs="Lato" w:eastAsia="Lato" w:hAnsi="Lato"/>
          <w:color w:val="273540"/>
          <w:sz w:val="24"/>
          <w:szCs w:val="24"/>
          <w:highlight w:val="white"/>
        </w:rPr>
      </w:pPr>
      <w:r w:rsidDel="00000000" w:rsidR="00000000" w:rsidRPr="00000000">
        <w:rPr>
          <w:rtl w:val="0"/>
        </w:rPr>
      </w:r>
    </w:p>
    <w:p w:rsidR="00000000" w:rsidDel="00000000" w:rsidP="00000000" w:rsidRDefault="00000000" w:rsidRPr="00000000" w14:paraId="00000010">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4. Bar Chart (Interactive) </w:t>
      </w:r>
    </w:p>
    <w:p w:rsidR="00000000" w:rsidDel="00000000" w:rsidP="00000000" w:rsidRDefault="00000000" w:rsidRPr="00000000" w14:paraId="00000011">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The fourth visualization is an interactive bar chart that compares average exam scores across different factors. It allows users to explore how being in “low,” “medium,” or “high” categories impacts performance. The mark is a bar, and the channels are positioned (categories vs. average scores). The use of interaction (via D3) allows users to engage with the data dynamically. This visualization reinforces the pattern that higher levels of support, engagement, and resources are associated with better academic outcomes. </w:t>
      </w:r>
    </w:p>
    <w:p w:rsidR="00000000" w:rsidDel="00000000" w:rsidP="00000000" w:rsidRDefault="00000000" w:rsidRPr="00000000" w14:paraId="00000012">
      <w:pPr>
        <w:pStyle w:val="Heading3"/>
        <w:keepNext w:val="0"/>
        <w:keepLines w:val="0"/>
        <w:spacing w:before="280" w:lineRule="auto"/>
        <w:rPr>
          <w:rFonts w:ascii="Lato" w:cs="Lato" w:eastAsia="Lato" w:hAnsi="Lato"/>
          <w:color w:val="273540"/>
          <w:sz w:val="26"/>
          <w:szCs w:val="26"/>
          <w:highlight w:val="white"/>
        </w:rPr>
      </w:pPr>
      <w:bookmarkStart w:colFirst="0" w:colLast="0" w:name="_3wpzpfwfon5o" w:id="0"/>
      <w:bookmarkEnd w:id="0"/>
      <w:r w:rsidDel="00000000" w:rsidR="00000000" w:rsidRPr="00000000">
        <w:rPr>
          <w:rFonts w:ascii="Lato" w:cs="Lato" w:eastAsia="Lato" w:hAnsi="Lato"/>
          <w:color w:val="273540"/>
          <w:sz w:val="26"/>
          <w:szCs w:val="26"/>
          <w:highlight w:val="white"/>
          <w:rtl w:val="0"/>
        </w:rPr>
        <w:t xml:space="preserve">5. Treemap </w:t>
      </w:r>
    </w:p>
    <w:p w:rsidR="00000000" w:rsidDel="00000000" w:rsidP="00000000" w:rsidRDefault="00000000" w:rsidRPr="00000000" w14:paraId="00000013">
      <w:pPr>
        <w:pStyle w:val="Heading3"/>
        <w:keepNext w:val="0"/>
        <w:keepLines w:val="0"/>
        <w:spacing w:before="280" w:lineRule="auto"/>
        <w:rPr>
          <w:rFonts w:ascii="Lato" w:cs="Lato" w:eastAsia="Lato" w:hAnsi="Lato"/>
          <w:color w:val="273540"/>
          <w:sz w:val="24"/>
          <w:szCs w:val="24"/>
          <w:highlight w:val="white"/>
        </w:rPr>
      </w:pPr>
      <w:bookmarkStart w:colFirst="0" w:colLast="0" w:name="_bt3rx5m5xwwh" w:id="1"/>
      <w:bookmarkEnd w:id="1"/>
      <w:r w:rsidDel="00000000" w:rsidR="00000000" w:rsidRPr="00000000">
        <w:rPr>
          <w:rFonts w:ascii="Lato" w:cs="Lato" w:eastAsia="Lato" w:hAnsi="Lato"/>
          <w:color w:val="273540"/>
          <w:sz w:val="24"/>
          <w:szCs w:val="24"/>
          <w:highlight w:val="white"/>
          <w:rtl w:val="0"/>
        </w:rPr>
        <w:t xml:space="preserve">The fifth visualization is a treemap that provides a hierarchical overview of student performance across socioeconomic and categorical factors. The primary mark is area (rectangles), and both size and color are used as encoding channels. The area is the proportion of observations within each subgroup, while color encodes the average exam score using the color blue as a scale. Darker shades of blue indicate higher average scores, displaying performance differences across the groups. The structure organizes students by socioeconomic grouping  (low income, medium income, high income) and then divides each group into additional categories (level of motivation, access to resources). This design allows for comparison within and across socioeconomic levels. The visualization shows the variation in academic performance across different socioeconomic contexts and shows that higher-level groups tend to contain more higher performing subgroups, but that there is still variation within each category.</w:t>
      </w:r>
    </w:p>
    <w:p w:rsidR="00000000" w:rsidDel="00000000" w:rsidP="00000000" w:rsidRDefault="00000000" w:rsidRPr="00000000" w14:paraId="00000014">
      <w:pPr>
        <w:rPr>
          <w:rFonts w:ascii="Lato" w:cs="Lato" w:eastAsia="Lato" w:hAnsi="Lato"/>
          <w:color w:val="273540"/>
          <w:sz w:val="24"/>
          <w:szCs w:val="24"/>
          <w:highlight w:val="white"/>
        </w:rPr>
      </w:pPr>
      <w:r w:rsidDel="00000000" w:rsidR="00000000" w:rsidRPr="00000000">
        <w:rPr>
          <w:rtl w:val="0"/>
        </w:rPr>
      </w:r>
    </w:p>
    <w:p w:rsidR="00000000" w:rsidDel="00000000" w:rsidP="00000000" w:rsidRDefault="00000000" w:rsidRPr="00000000" w14:paraId="00000015">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Feedback from the peer review:</w:t>
      </w:r>
    </w:p>
    <w:p w:rsidR="00000000" w:rsidDel="00000000" w:rsidP="00000000" w:rsidRDefault="00000000" w:rsidRPr="00000000" w14:paraId="00000016">
      <w:pPr>
        <w:rPr>
          <w:rFonts w:ascii="Lato" w:cs="Lato" w:eastAsia="Lato" w:hAnsi="Lato"/>
          <w:color w:val="273540"/>
          <w:sz w:val="24"/>
          <w:szCs w:val="24"/>
          <w:highlight w:val="white"/>
        </w:rPr>
      </w:pPr>
      <w:r w:rsidDel="00000000" w:rsidR="00000000" w:rsidRPr="00000000">
        <w:rPr>
          <w:rFonts w:ascii="Lato" w:cs="Lato" w:eastAsia="Lato" w:hAnsi="Lato"/>
          <w:color w:val="273540"/>
          <w:sz w:val="24"/>
          <w:szCs w:val="24"/>
          <w:highlight w:val="white"/>
          <w:rtl w:val="0"/>
        </w:rPr>
        <w:t xml:space="preserve">The main feedback we got was regarding the layout of the website, as well as about the written interpretations. The changes we have made include changing the visualization number to its actual name as well as modifying our first visualization so that the light part of the heatmap is equal to 0. We also moved Figure 4 to be after Figure 1 to have a clearer transition between our visualizations. We removed attendance from group selection as it was deemed a separate selection, so we didn’t need to add it to the selection. We also changed our fifth visualization to a tree map to more clearly show how features are connected in the plot. We finally modified the website to look cleaner, as well as tightened up our written interpretations for stronger insights that go into more detail about our visualizations. </w:t>
      </w:r>
    </w:p>
    <w:p w:rsidR="00000000" w:rsidDel="00000000" w:rsidP="00000000" w:rsidRDefault="00000000" w:rsidRPr="00000000" w14:paraId="00000017">
      <w:pPr>
        <w:ind w:left="0" w:firstLine="0"/>
        <w:rPr>
          <w:rFonts w:ascii="Lato" w:cs="Lato" w:eastAsia="Lato" w:hAnsi="Lato"/>
          <w:color w:val="273540"/>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iissung.github.io/DS4200project/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