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4"/>
        </w:rPr>
        <w:t>Figure 8. Web-based ALS depressive-symptom risk prediction tool</w:t>
      </w:r>
    </w:p>
    <w:p>
      <w:pPr>
        <w:spacing w:after="160"/>
        <w:jc w:val="both"/>
      </w:pPr>
      <w:r>
        <w:t>(A) Landing page and selection of the 3- or 6-month prediction horizon. (B) Entry of baseline clinical, scale, and laboratory variables; NLR and log1p(NLR) are calculated automatically from neutrophil and lymphocyte counts. (C) Patient-level predicted probability, risk category, prespecified threshold, and the number of locked imputation-specific models. The final probability is the arithmetic mean of predictions from 20 models. (D) Patient-level model explanation. Orange bars increase and blue bars decrease the model output; these contributions describe model behavior and should not be interpreted as causal effects. The interface does not collect identifying information or persist user-entered data.</w:t>
      </w:r>
    </w:p>
    <w:p>
      <w:r>
        <w:rPr>
          <w:b/>
        </w:rPr>
        <w:t xml:space="preserve">Abbreviations: </w:t>
      </w:r>
      <w:r>
        <w:t>ALS, amyotrophic lateral sclerosis; ALSFRS-R, Revised Amyotrophic Lateral Sclerosis Functional Rating Scale; FSS, Fatigue Severity Scale; NLR, neutrophil-to-lymphocyte ratio; PSQI, Pittsburgh Sleep Quality Index.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