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B4E6A" w14:textId="77777777" w:rsidR="00203ACE" w:rsidRPr="00203ACE" w:rsidRDefault="00203ACE" w:rsidP="00203ACE">
      <w:pPr>
        <w:rPr>
          <w:b/>
          <w:bCs/>
          <w:sz w:val="40"/>
          <w:szCs w:val="40"/>
        </w:rPr>
      </w:pPr>
      <w:r w:rsidRPr="00203ACE">
        <w:rPr>
          <w:rFonts w:ascii="Segoe UI Emoji" w:hAnsi="Segoe UI Emoji" w:cs="Segoe UI Emoji"/>
          <w:b/>
          <w:bCs/>
          <w:sz w:val="40"/>
          <w:szCs w:val="40"/>
        </w:rPr>
        <w:t>📄</w:t>
      </w:r>
      <w:r w:rsidRPr="00203ACE">
        <w:rPr>
          <w:b/>
          <w:bCs/>
          <w:sz w:val="40"/>
          <w:szCs w:val="40"/>
        </w:rPr>
        <w:t xml:space="preserve"> Project Report</w:t>
      </w:r>
    </w:p>
    <w:p w14:paraId="78FC15DE" w14:textId="77777777" w:rsidR="00203ACE" w:rsidRPr="00203ACE" w:rsidRDefault="00203ACE" w:rsidP="00203ACE">
      <w:pPr>
        <w:rPr>
          <w:b/>
          <w:bCs/>
          <w:sz w:val="40"/>
          <w:szCs w:val="40"/>
        </w:rPr>
      </w:pPr>
      <w:r w:rsidRPr="00203ACE">
        <w:rPr>
          <w:b/>
          <w:bCs/>
          <w:sz w:val="40"/>
          <w:szCs w:val="40"/>
        </w:rPr>
        <w:t>Analysis of Commodity Prices Across Indian Markets</w:t>
      </w:r>
    </w:p>
    <w:p w14:paraId="79DFD763" w14:textId="77777777" w:rsidR="00203ACE" w:rsidRPr="00203ACE" w:rsidRDefault="00000000" w:rsidP="00203ACE">
      <w:pPr>
        <w:rPr>
          <w:sz w:val="40"/>
          <w:szCs w:val="40"/>
        </w:rPr>
      </w:pPr>
      <w:r>
        <w:rPr>
          <w:sz w:val="40"/>
          <w:szCs w:val="40"/>
        </w:rPr>
        <w:pict w14:anchorId="1A65EF78">
          <v:rect id="_x0000_i1025" style="width:0;height:1.5pt" o:hralign="center" o:hrstd="t" o:hr="t" fillcolor="#a0a0a0" stroked="f"/>
        </w:pict>
      </w:r>
    </w:p>
    <w:p w14:paraId="1B56E6FB" w14:textId="77777777" w:rsidR="00203ACE" w:rsidRPr="00203ACE" w:rsidRDefault="00203ACE" w:rsidP="00203ACE">
      <w:pPr>
        <w:rPr>
          <w:b/>
          <w:bCs/>
          <w:sz w:val="28"/>
          <w:szCs w:val="28"/>
        </w:rPr>
      </w:pPr>
      <w:r w:rsidRPr="00203ACE">
        <w:rPr>
          <w:b/>
          <w:bCs/>
          <w:sz w:val="28"/>
          <w:szCs w:val="28"/>
        </w:rPr>
        <w:t>1. Introduction</w:t>
      </w:r>
    </w:p>
    <w:p w14:paraId="6FE7E1F4" w14:textId="77777777" w:rsidR="00203ACE" w:rsidRPr="00203ACE" w:rsidRDefault="00203ACE" w:rsidP="00203ACE">
      <w:pPr>
        <w:rPr>
          <w:sz w:val="28"/>
          <w:szCs w:val="28"/>
        </w:rPr>
      </w:pPr>
      <w:r w:rsidRPr="00203ACE">
        <w:rPr>
          <w:sz w:val="28"/>
          <w:szCs w:val="28"/>
        </w:rPr>
        <w:t>Agricultural commodity prices vary across regions, markets and quality grades.</w:t>
      </w:r>
      <w:r w:rsidRPr="00203ACE">
        <w:rPr>
          <w:sz w:val="28"/>
          <w:szCs w:val="28"/>
        </w:rPr>
        <w:br/>
        <w:t>Understanding these variations is essential for farmers, traders, policy makers and market planners to take informed decisions.</w:t>
      </w:r>
    </w:p>
    <w:p w14:paraId="2DD44561" w14:textId="77777777" w:rsidR="00203ACE" w:rsidRPr="00203ACE" w:rsidRDefault="00203ACE" w:rsidP="00203ACE">
      <w:pPr>
        <w:rPr>
          <w:sz w:val="28"/>
          <w:szCs w:val="28"/>
        </w:rPr>
      </w:pPr>
      <w:r w:rsidRPr="00203ACE">
        <w:rPr>
          <w:sz w:val="28"/>
          <w:szCs w:val="28"/>
        </w:rPr>
        <w:t>This project focuses on analysing agricultural commodity market data to identify:</w:t>
      </w:r>
    </w:p>
    <w:p w14:paraId="437657E8" w14:textId="77777777" w:rsidR="00203ACE" w:rsidRPr="00203ACE" w:rsidRDefault="00203ACE" w:rsidP="00203ACE">
      <w:pPr>
        <w:numPr>
          <w:ilvl w:val="0"/>
          <w:numId w:val="1"/>
        </w:numPr>
        <w:rPr>
          <w:sz w:val="28"/>
          <w:szCs w:val="28"/>
        </w:rPr>
      </w:pPr>
      <w:r w:rsidRPr="00203ACE">
        <w:rPr>
          <w:sz w:val="28"/>
          <w:szCs w:val="28"/>
        </w:rPr>
        <w:t>price behaviour across regions, states, districts and markets,</w:t>
      </w:r>
    </w:p>
    <w:p w14:paraId="2E172591" w14:textId="77777777" w:rsidR="00203ACE" w:rsidRPr="00203ACE" w:rsidRDefault="00203ACE" w:rsidP="00203ACE">
      <w:pPr>
        <w:numPr>
          <w:ilvl w:val="0"/>
          <w:numId w:val="1"/>
        </w:numPr>
        <w:rPr>
          <w:sz w:val="28"/>
          <w:szCs w:val="28"/>
        </w:rPr>
      </w:pPr>
      <w:r w:rsidRPr="00203ACE">
        <w:rPr>
          <w:sz w:val="28"/>
          <w:szCs w:val="28"/>
        </w:rPr>
        <w:t>the impact of commodity type and grade on prices, and</w:t>
      </w:r>
    </w:p>
    <w:p w14:paraId="4908EDB0" w14:textId="77777777" w:rsidR="00203ACE" w:rsidRPr="00203ACE" w:rsidRDefault="00203ACE" w:rsidP="00203ACE">
      <w:pPr>
        <w:numPr>
          <w:ilvl w:val="0"/>
          <w:numId w:val="1"/>
        </w:numPr>
        <w:rPr>
          <w:sz w:val="28"/>
          <w:szCs w:val="28"/>
        </w:rPr>
      </w:pPr>
      <w:r w:rsidRPr="00203ACE">
        <w:rPr>
          <w:sz w:val="28"/>
          <w:szCs w:val="28"/>
        </w:rPr>
        <w:t>market activity patterns through descriptive and visual analytics.</w:t>
      </w:r>
    </w:p>
    <w:p w14:paraId="2F5687C4" w14:textId="77777777" w:rsidR="00082851" w:rsidRDefault="00082851" w:rsidP="00082851">
      <w:pPr>
        <w:rPr>
          <w:sz w:val="28"/>
          <w:szCs w:val="28"/>
        </w:rPr>
      </w:pPr>
    </w:p>
    <w:p w14:paraId="60584373" w14:textId="6FA8872C" w:rsidR="00082851" w:rsidRPr="00082851" w:rsidRDefault="00082851" w:rsidP="00082851">
      <w:pPr>
        <w:rPr>
          <w:sz w:val="28"/>
          <w:szCs w:val="28"/>
        </w:rPr>
      </w:pPr>
      <w:r w:rsidRPr="00082851">
        <w:rPr>
          <w:rFonts w:ascii="Consolas" w:eastAsia="Times New Roman" w:hAnsi="Consolas" w:cs="Times New Roman"/>
          <w:color w:val="CCCCCC"/>
          <w:sz w:val="21"/>
          <w:szCs w:val="21"/>
          <w:lang w:eastAsia="en-IN"/>
        </w:rPr>
        <w:t xml:space="preserve"> </w:t>
      </w:r>
      <w:r w:rsidRPr="00082851">
        <w:rPr>
          <w:sz w:val="28"/>
          <w:szCs w:val="28"/>
        </w:rPr>
        <w:t>This project focuses on the exploratory analysis of commodity price data collected from various markets across India. Using Python and data analysis techniques, the study examines price patterns across states, districts and commodities, and explores the relationships between minimum, maximum and modal prices. Through data cleaning, exploratory data analysis and visualisation, the project aims to identify meaningful trends, regional differences and important insights that can help in understanding the overall behaviour of commodity prices in Indian markets.</w:t>
      </w:r>
    </w:p>
    <w:p w14:paraId="769353BF" w14:textId="3520875E" w:rsidR="00203ACE" w:rsidRPr="00203ACE" w:rsidRDefault="00203ACE" w:rsidP="00203ACE">
      <w:pPr>
        <w:rPr>
          <w:sz w:val="28"/>
          <w:szCs w:val="28"/>
        </w:rPr>
      </w:pPr>
    </w:p>
    <w:p w14:paraId="0D00CC49" w14:textId="77777777" w:rsidR="00203ACE" w:rsidRPr="00203ACE" w:rsidRDefault="00000000" w:rsidP="00203ACE">
      <w:pPr>
        <w:rPr>
          <w:sz w:val="28"/>
          <w:szCs w:val="28"/>
        </w:rPr>
      </w:pPr>
      <w:r>
        <w:rPr>
          <w:sz w:val="28"/>
          <w:szCs w:val="28"/>
        </w:rPr>
        <w:pict w14:anchorId="53A094A7">
          <v:rect id="_x0000_i1026" style="width:0;height:1.5pt" o:hralign="center" o:hrstd="t" o:hr="t" fillcolor="#a0a0a0" stroked="f"/>
        </w:pict>
      </w:r>
    </w:p>
    <w:p w14:paraId="72A9D6C5" w14:textId="77777777" w:rsidR="00203ACE" w:rsidRPr="00203ACE" w:rsidRDefault="00203ACE" w:rsidP="00203ACE">
      <w:pPr>
        <w:rPr>
          <w:b/>
          <w:bCs/>
          <w:sz w:val="28"/>
          <w:szCs w:val="28"/>
        </w:rPr>
      </w:pPr>
      <w:r w:rsidRPr="00203ACE">
        <w:rPr>
          <w:b/>
          <w:bCs/>
          <w:sz w:val="28"/>
          <w:szCs w:val="28"/>
        </w:rPr>
        <w:t>2. Objective of the Study</w:t>
      </w:r>
    </w:p>
    <w:p w14:paraId="78A143FE" w14:textId="77777777" w:rsidR="00203ACE" w:rsidRPr="00203ACE" w:rsidRDefault="00203ACE" w:rsidP="00203ACE">
      <w:pPr>
        <w:rPr>
          <w:sz w:val="28"/>
          <w:szCs w:val="28"/>
        </w:rPr>
      </w:pPr>
      <w:r w:rsidRPr="00203ACE">
        <w:rPr>
          <w:sz w:val="28"/>
          <w:szCs w:val="28"/>
        </w:rPr>
        <w:t>The main objectives of this project are:</w:t>
      </w:r>
    </w:p>
    <w:p w14:paraId="5DBA4E00" w14:textId="77777777" w:rsidR="00203ACE" w:rsidRPr="00203ACE" w:rsidRDefault="00203ACE" w:rsidP="00203ACE">
      <w:pPr>
        <w:numPr>
          <w:ilvl w:val="0"/>
          <w:numId w:val="2"/>
        </w:numPr>
        <w:rPr>
          <w:sz w:val="28"/>
          <w:szCs w:val="28"/>
        </w:rPr>
      </w:pPr>
      <w:r w:rsidRPr="00203ACE">
        <w:rPr>
          <w:sz w:val="28"/>
          <w:szCs w:val="28"/>
        </w:rPr>
        <w:t>To analyse how commodity prices differ across markets and regions.</w:t>
      </w:r>
    </w:p>
    <w:p w14:paraId="4F4F310A" w14:textId="77777777" w:rsidR="00203ACE" w:rsidRPr="00203ACE" w:rsidRDefault="00203ACE" w:rsidP="00203ACE">
      <w:pPr>
        <w:numPr>
          <w:ilvl w:val="0"/>
          <w:numId w:val="2"/>
        </w:numPr>
        <w:rPr>
          <w:sz w:val="28"/>
          <w:szCs w:val="28"/>
        </w:rPr>
      </w:pPr>
      <w:r w:rsidRPr="00203ACE">
        <w:rPr>
          <w:sz w:val="28"/>
          <w:szCs w:val="28"/>
        </w:rPr>
        <w:t>To understand the influence of grades on commodity prices.</w:t>
      </w:r>
    </w:p>
    <w:p w14:paraId="2C191AB6" w14:textId="77777777" w:rsidR="00203ACE" w:rsidRPr="00203ACE" w:rsidRDefault="00203ACE" w:rsidP="00203ACE">
      <w:pPr>
        <w:numPr>
          <w:ilvl w:val="0"/>
          <w:numId w:val="2"/>
        </w:numPr>
        <w:rPr>
          <w:sz w:val="28"/>
          <w:szCs w:val="28"/>
        </w:rPr>
      </w:pPr>
      <w:r w:rsidRPr="00203ACE">
        <w:rPr>
          <w:sz w:val="28"/>
          <w:szCs w:val="28"/>
        </w:rPr>
        <w:t>To identify high-value and high-volume commodities.</w:t>
      </w:r>
    </w:p>
    <w:p w14:paraId="5A2275EF" w14:textId="77777777" w:rsidR="00203ACE" w:rsidRPr="00203ACE" w:rsidRDefault="00203ACE" w:rsidP="00203ACE">
      <w:pPr>
        <w:numPr>
          <w:ilvl w:val="0"/>
          <w:numId w:val="2"/>
        </w:numPr>
        <w:rPr>
          <w:sz w:val="28"/>
          <w:szCs w:val="28"/>
        </w:rPr>
      </w:pPr>
      <w:r w:rsidRPr="00203ACE">
        <w:rPr>
          <w:sz w:val="28"/>
          <w:szCs w:val="28"/>
        </w:rPr>
        <w:lastRenderedPageBreak/>
        <w:t>To detect markets with high price volatility.</w:t>
      </w:r>
    </w:p>
    <w:p w14:paraId="7713260A" w14:textId="77777777" w:rsidR="00203ACE" w:rsidRPr="00203ACE" w:rsidRDefault="00203ACE" w:rsidP="00203ACE">
      <w:pPr>
        <w:numPr>
          <w:ilvl w:val="0"/>
          <w:numId w:val="2"/>
        </w:numPr>
        <w:rPr>
          <w:sz w:val="28"/>
          <w:szCs w:val="28"/>
        </w:rPr>
      </w:pPr>
      <w:r w:rsidRPr="00203ACE">
        <w:rPr>
          <w:sz w:val="28"/>
          <w:szCs w:val="28"/>
        </w:rPr>
        <w:t>To support decision making through interactive visual analytics.</w:t>
      </w:r>
    </w:p>
    <w:p w14:paraId="34A75421" w14:textId="77777777" w:rsidR="00203ACE" w:rsidRPr="00203ACE" w:rsidRDefault="00000000" w:rsidP="00203ACE">
      <w:pPr>
        <w:rPr>
          <w:sz w:val="28"/>
          <w:szCs w:val="28"/>
        </w:rPr>
      </w:pPr>
      <w:r>
        <w:rPr>
          <w:sz w:val="28"/>
          <w:szCs w:val="28"/>
        </w:rPr>
        <w:pict w14:anchorId="52739E23">
          <v:rect id="_x0000_i1027" style="width:0;height:1.5pt" o:hralign="center" o:hrstd="t" o:hr="t" fillcolor="#a0a0a0" stroked="f"/>
        </w:pict>
      </w:r>
    </w:p>
    <w:p w14:paraId="125351A1" w14:textId="77777777" w:rsidR="00203ACE" w:rsidRPr="00203ACE" w:rsidRDefault="00203ACE" w:rsidP="00203ACE">
      <w:pPr>
        <w:rPr>
          <w:b/>
          <w:bCs/>
          <w:sz w:val="28"/>
          <w:szCs w:val="28"/>
        </w:rPr>
      </w:pPr>
      <w:r w:rsidRPr="00203ACE">
        <w:rPr>
          <w:b/>
          <w:bCs/>
          <w:sz w:val="28"/>
          <w:szCs w:val="28"/>
        </w:rPr>
        <w:t>3. Dataset Description</w:t>
      </w:r>
    </w:p>
    <w:p w14:paraId="44F3ABB4" w14:textId="55CDF8BA" w:rsidR="00203ACE" w:rsidRPr="00203ACE" w:rsidRDefault="00203ACE" w:rsidP="006F316D">
      <w:pPr>
        <w:rPr>
          <w:sz w:val="28"/>
          <w:szCs w:val="28"/>
        </w:rPr>
      </w:pPr>
      <w:r w:rsidRPr="00203ACE">
        <w:rPr>
          <w:sz w:val="28"/>
          <w:szCs w:val="28"/>
        </w:rPr>
        <w:t>The dataset contains agricultural market records with the following major attributes:</w:t>
      </w:r>
    </w:p>
    <w:p w14:paraId="530EEF9B" w14:textId="77777777" w:rsidR="00203ACE" w:rsidRPr="00203ACE" w:rsidRDefault="00203ACE" w:rsidP="00203ACE">
      <w:pPr>
        <w:numPr>
          <w:ilvl w:val="0"/>
          <w:numId w:val="3"/>
        </w:numPr>
        <w:rPr>
          <w:sz w:val="28"/>
          <w:szCs w:val="28"/>
        </w:rPr>
      </w:pPr>
      <w:r w:rsidRPr="00203ACE">
        <w:rPr>
          <w:sz w:val="28"/>
          <w:szCs w:val="28"/>
        </w:rPr>
        <w:t>State</w:t>
      </w:r>
    </w:p>
    <w:p w14:paraId="7F0AF7A1" w14:textId="77777777" w:rsidR="00203ACE" w:rsidRPr="00203ACE" w:rsidRDefault="00203ACE" w:rsidP="00203ACE">
      <w:pPr>
        <w:numPr>
          <w:ilvl w:val="0"/>
          <w:numId w:val="3"/>
        </w:numPr>
        <w:rPr>
          <w:sz w:val="28"/>
          <w:szCs w:val="28"/>
        </w:rPr>
      </w:pPr>
      <w:r w:rsidRPr="00203ACE">
        <w:rPr>
          <w:sz w:val="28"/>
          <w:szCs w:val="28"/>
        </w:rPr>
        <w:t>District</w:t>
      </w:r>
    </w:p>
    <w:p w14:paraId="62CAD206" w14:textId="77777777" w:rsidR="00203ACE" w:rsidRPr="00203ACE" w:rsidRDefault="00203ACE" w:rsidP="00203ACE">
      <w:pPr>
        <w:numPr>
          <w:ilvl w:val="0"/>
          <w:numId w:val="3"/>
        </w:numPr>
        <w:rPr>
          <w:sz w:val="28"/>
          <w:szCs w:val="28"/>
        </w:rPr>
      </w:pPr>
      <w:r w:rsidRPr="00203ACE">
        <w:rPr>
          <w:sz w:val="28"/>
          <w:szCs w:val="28"/>
        </w:rPr>
        <w:t>Market</w:t>
      </w:r>
    </w:p>
    <w:p w14:paraId="77E61BB0" w14:textId="1503AE18" w:rsidR="00203ACE" w:rsidRPr="006F316D" w:rsidRDefault="00203ACE" w:rsidP="006F316D">
      <w:pPr>
        <w:numPr>
          <w:ilvl w:val="0"/>
          <w:numId w:val="3"/>
        </w:numPr>
        <w:rPr>
          <w:sz w:val="28"/>
          <w:szCs w:val="28"/>
        </w:rPr>
      </w:pPr>
      <w:r w:rsidRPr="00203ACE">
        <w:rPr>
          <w:sz w:val="28"/>
          <w:szCs w:val="28"/>
        </w:rPr>
        <w:t>Commodity</w:t>
      </w:r>
    </w:p>
    <w:p w14:paraId="51C137AE" w14:textId="77777777" w:rsidR="00203ACE" w:rsidRPr="00203ACE" w:rsidRDefault="00203ACE" w:rsidP="00203ACE">
      <w:pPr>
        <w:numPr>
          <w:ilvl w:val="0"/>
          <w:numId w:val="3"/>
        </w:numPr>
        <w:rPr>
          <w:sz w:val="28"/>
          <w:szCs w:val="28"/>
        </w:rPr>
      </w:pPr>
      <w:r w:rsidRPr="00203ACE">
        <w:rPr>
          <w:sz w:val="28"/>
          <w:szCs w:val="28"/>
        </w:rPr>
        <w:t>Grade</w:t>
      </w:r>
    </w:p>
    <w:p w14:paraId="7C81FB14" w14:textId="77777777" w:rsidR="00203ACE" w:rsidRPr="00203ACE" w:rsidRDefault="00203ACE" w:rsidP="00203ACE">
      <w:pPr>
        <w:numPr>
          <w:ilvl w:val="0"/>
          <w:numId w:val="3"/>
        </w:numPr>
        <w:rPr>
          <w:sz w:val="28"/>
          <w:szCs w:val="28"/>
        </w:rPr>
      </w:pPr>
      <w:r w:rsidRPr="00203ACE">
        <w:rPr>
          <w:sz w:val="28"/>
          <w:szCs w:val="28"/>
        </w:rPr>
        <w:t>Minimum price</w:t>
      </w:r>
    </w:p>
    <w:p w14:paraId="218A2B8C" w14:textId="77777777" w:rsidR="00203ACE" w:rsidRPr="00203ACE" w:rsidRDefault="00203ACE" w:rsidP="00203ACE">
      <w:pPr>
        <w:numPr>
          <w:ilvl w:val="0"/>
          <w:numId w:val="3"/>
        </w:numPr>
        <w:rPr>
          <w:sz w:val="28"/>
          <w:szCs w:val="28"/>
        </w:rPr>
      </w:pPr>
      <w:r w:rsidRPr="00203ACE">
        <w:rPr>
          <w:sz w:val="28"/>
          <w:szCs w:val="28"/>
        </w:rPr>
        <w:t>Maximum price</w:t>
      </w:r>
    </w:p>
    <w:p w14:paraId="4CB5684F" w14:textId="77777777" w:rsidR="00203ACE" w:rsidRPr="00203ACE" w:rsidRDefault="00203ACE" w:rsidP="00203ACE">
      <w:pPr>
        <w:numPr>
          <w:ilvl w:val="0"/>
          <w:numId w:val="3"/>
        </w:numPr>
        <w:rPr>
          <w:sz w:val="28"/>
          <w:szCs w:val="28"/>
        </w:rPr>
      </w:pPr>
      <w:r w:rsidRPr="00203ACE">
        <w:rPr>
          <w:sz w:val="28"/>
          <w:szCs w:val="28"/>
        </w:rPr>
        <w:t>Modal price</w:t>
      </w:r>
    </w:p>
    <w:p w14:paraId="666F7F5B" w14:textId="77777777" w:rsidR="00203ACE" w:rsidRDefault="00203ACE" w:rsidP="00203ACE">
      <w:pPr>
        <w:numPr>
          <w:ilvl w:val="0"/>
          <w:numId w:val="3"/>
        </w:numPr>
        <w:rPr>
          <w:sz w:val="28"/>
          <w:szCs w:val="28"/>
        </w:rPr>
      </w:pPr>
      <w:r w:rsidRPr="00203ACE">
        <w:rPr>
          <w:sz w:val="28"/>
          <w:szCs w:val="28"/>
        </w:rPr>
        <w:t>Arrival date</w:t>
      </w:r>
    </w:p>
    <w:p w14:paraId="640650D1" w14:textId="2ACA4947" w:rsidR="006F316D" w:rsidRPr="00203ACE" w:rsidRDefault="006F316D" w:rsidP="00203ACE">
      <w:pPr>
        <w:numPr>
          <w:ilvl w:val="0"/>
          <w:numId w:val="3"/>
        </w:numPr>
        <w:rPr>
          <w:sz w:val="28"/>
          <w:szCs w:val="28"/>
        </w:rPr>
      </w:pPr>
      <w:r>
        <w:rPr>
          <w:sz w:val="28"/>
          <w:szCs w:val="28"/>
        </w:rPr>
        <w:t>Commodity code</w:t>
      </w:r>
    </w:p>
    <w:p w14:paraId="5E75AC09" w14:textId="77777777" w:rsidR="00203ACE" w:rsidRPr="00203ACE" w:rsidRDefault="00203ACE" w:rsidP="00203ACE">
      <w:pPr>
        <w:rPr>
          <w:sz w:val="28"/>
          <w:szCs w:val="28"/>
        </w:rPr>
      </w:pPr>
      <w:r w:rsidRPr="00203ACE">
        <w:rPr>
          <w:sz w:val="28"/>
          <w:szCs w:val="28"/>
        </w:rPr>
        <w:t>The modal price is used as the primary indicator for market price analysis.</w:t>
      </w:r>
    </w:p>
    <w:p w14:paraId="6355B746" w14:textId="77777777" w:rsidR="00203ACE" w:rsidRPr="00203ACE" w:rsidRDefault="00000000" w:rsidP="00203ACE">
      <w:pPr>
        <w:rPr>
          <w:sz w:val="28"/>
          <w:szCs w:val="28"/>
        </w:rPr>
      </w:pPr>
      <w:r>
        <w:rPr>
          <w:sz w:val="28"/>
          <w:szCs w:val="28"/>
        </w:rPr>
        <w:pict w14:anchorId="38868BE4">
          <v:rect id="_x0000_i1028" style="width:0;height:1.5pt" o:hralign="center" o:hrstd="t" o:hr="t" fillcolor="#a0a0a0" stroked="f"/>
        </w:pict>
      </w:r>
    </w:p>
    <w:p w14:paraId="6A64E8BF" w14:textId="77777777" w:rsidR="00203ACE" w:rsidRPr="00203ACE" w:rsidRDefault="00203ACE" w:rsidP="00203ACE">
      <w:pPr>
        <w:rPr>
          <w:b/>
          <w:bCs/>
          <w:sz w:val="28"/>
          <w:szCs w:val="28"/>
        </w:rPr>
      </w:pPr>
      <w:r w:rsidRPr="00203ACE">
        <w:rPr>
          <w:b/>
          <w:bCs/>
          <w:sz w:val="28"/>
          <w:szCs w:val="28"/>
        </w:rPr>
        <w:t>4. Methodology</w:t>
      </w:r>
    </w:p>
    <w:p w14:paraId="5CA1577A" w14:textId="77777777" w:rsidR="00A26243" w:rsidRDefault="00203ACE" w:rsidP="00203ACE">
      <w:pPr>
        <w:rPr>
          <w:sz w:val="28"/>
          <w:szCs w:val="28"/>
        </w:rPr>
      </w:pPr>
      <w:r w:rsidRPr="00203ACE">
        <w:rPr>
          <w:sz w:val="28"/>
          <w:szCs w:val="28"/>
        </w:rPr>
        <w:t>The project follows a structured data analytics workflow:</w:t>
      </w:r>
    </w:p>
    <w:p w14:paraId="62FA2910" w14:textId="5A1F2879" w:rsidR="00A26243" w:rsidRDefault="00A26243" w:rsidP="00203ACE">
      <w:pPr>
        <w:rPr>
          <w:sz w:val="28"/>
          <w:szCs w:val="28"/>
        </w:rPr>
      </w:pPr>
      <w:r w:rsidRPr="00A26243">
        <w:rPr>
          <w:sz w:val="28"/>
          <w:szCs w:val="28"/>
        </w:rPr>
        <w:t xml:space="preserve"> Import</w:t>
      </w:r>
      <w:r>
        <w:rPr>
          <w:sz w:val="28"/>
          <w:szCs w:val="28"/>
        </w:rPr>
        <w:t>ed</w:t>
      </w:r>
      <w:r w:rsidRPr="00A26243">
        <w:rPr>
          <w:sz w:val="28"/>
          <w:szCs w:val="28"/>
        </w:rPr>
        <w:t xml:space="preserve"> libraries to read data, clean data and draw graphs.</w:t>
      </w:r>
    </w:p>
    <w:p w14:paraId="1EFDD544" w14:textId="273F04D7" w:rsidR="00A26243" w:rsidRPr="00203ACE" w:rsidRDefault="00A26243" w:rsidP="00203ACE">
      <w:pPr>
        <w:rPr>
          <w:sz w:val="28"/>
          <w:szCs w:val="28"/>
        </w:rPr>
      </w:pPr>
      <w:r w:rsidRPr="00A26243">
        <w:rPr>
          <w:sz w:val="28"/>
          <w:szCs w:val="28"/>
        </w:rPr>
        <w:t xml:space="preserve"> </w:t>
      </w:r>
      <w:proofErr w:type="spellStart"/>
      <w:proofErr w:type="gramStart"/>
      <w:r w:rsidRPr="00A26243">
        <w:rPr>
          <w:sz w:val="28"/>
          <w:szCs w:val="28"/>
        </w:rPr>
        <w:t>P</w:t>
      </w:r>
      <w:r w:rsidRPr="00A26243">
        <w:rPr>
          <w:sz w:val="28"/>
          <w:szCs w:val="28"/>
        </w:rPr>
        <w:t>andas</w:t>
      </w:r>
      <w:r>
        <w:rPr>
          <w:sz w:val="28"/>
          <w:szCs w:val="28"/>
        </w:rPr>
        <w:t>,N</w:t>
      </w:r>
      <w:r w:rsidRPr="00A26243">
        <w:rPr>
          <w:sz w:val="28"/>
          <w:szCs w:val="28"/>
        </w:rPr>
        <w:t>umpy</w:t>
      </w:r>
      <w:proofErr w:type="gramEnd"/>
      <w:r>
        <w:rPr>
          <w:sz w:val="28"/>
          <w:szCs w:val="28"/>
        </w:rPr>
        <w:t>,</w:t>
      </w:r>
      <w:proofErr w:type="gramStart"/>
      <w:r>
        <w:rPr>
          <w:sz w:val="28"/>
          <w:szCs w:val="28"/>
        </w:rPr>
        <w:t>M</w:t>
      </w:r>
      <w:r w:rsidRPr="00A26243">
        <w:rPr>
          <w:sz w:val="28"/>
          <w:szCs w:val="28"/>
        </w:rPr>
        <w:t>atplotlib</w:t>
      </w:r>
      <w:r>
        <w:rPr>
          <w:sz w:val="28"/>
          <w:szCs w:val="28"/>
        </w:rPr>
        <w:t>,S</w:t>
      </w:r>
      <w:r w:rsidRPr="00A26243">
        <w:rPr>
          <w:sz w:val="28"/>
          <w:szCs w:val="28"/>
        </w:rPr>
        <w:t>eaborn</w:t>
      </w:r>
      <w:proofErr w:type="gramEnd"/>
      <w:r>
        <w:rPr>
          <w:sz w:val="28"/>
          <w:szCs w:val="28"/>
        </w:rPr>
        <w:t>,P</w:t>
      </w:r>
      <w:r w:rsidRPr="00A26243">
        <w:rPr>
          <w:sz w:val="28"/>
          <w:szCs w:val="28"/>
        </w:rPr>
        <w:t>lotly</w:t>
      </w:r>
      <w:proofErr w:type="spellEnd"/>
    </w:p>
    <w:p w14:paraId="4339AD40" w14:textId="77777777" w:rsidR="00203ACE" w:rsidRPr="00203ACE" w:rsidRDefault="00203ACE" w:rsidP="00203ACE">
      <w:pPr>
        <w:numPr>
          <w:ilvl w:val="0"/>
          <w:numId w:val="4"/>
        </w:numPr>
        <w:rPr>
          <w:sz w:val="28"/>
          <w:szCs w:val="28"/>
        </w:rPr>
      </w:pPr>
      <w:r w:rsidRPr="00203ACE">
        <w:rPr>
          <w:sz w:val="28"/>
          <w:szCs w:val="28"/>
        </w:rPr>
        <w:t>Data cleaning and formatting</w:t>
      </w:r>
    </w:p>
    <w:p w14:paraId="34DA1EBB" w14:textId="17086729" w:rsidR="00203ACE" w:rsidRPr="0091242A" w:rsidRDefault="00203ACE" w:rsidP="0091242A">
      <w:pPr>
        <w:numPr>
          <w:ilvl w:val="0"/>
          <w:numId w:val="4"/>
        </w:numPr>
        <w:rPr>
          <w:sz w:val="28"/>
          <w:szCs w:val="28"/>
        </w:rPr>
      </w:pPr>
      <w:r w:rsidRPr="00203ACE">
        <w:rPr>
          <w:sz w:val="28"/>
          <w:szCs w:val="28"/>
        </w:rPr>
        <w:t>Conversion of arrival dates to proper datetime format</w:t>
      </w:r>
    </w:p>
    <w:p w14:paraId="30BC158E" w14:textId="4A9EAF1B" w:rsidR="0091242A" w:rsidRPr="00203ACE" w:rsidRDefault="0091242A" w:rsidP="00203ACE">
      <w:pPr>
        <w:numPr>
          <w:ilvl w:val="0"/>
          <w:numId w:val="4"/>
        </w:numPr>
        <w:rPr>
          <w:sz w:val="28"/>
          <w:szCs w:val="28"/>
        </w:rPr>
      </w:pPr>
      <w:r w:rsidRPr="0091242A">
        <w:rPr>
          <w:sz w:val="28"/>
          <w:szCs w:val="28"/>
        </w:rPr>
        <w:t>Grouping and aggregation by commodity, market, grade and commodity type</w:t>
      </w:r>
    </w:p>
    <w:p w14:paraId="2ED9B2D1" w14:textId="77777777" w:rsidR="00203ACE" w:rsidRPr="0091242A" w:rsidRDefault="00203ACE" w:rsidP="00203ACE">
      <w:pPr>
        <w:numPr>
          <w:ilvl w:val="0"/>
          <w:numId w:val="4"/>
        </w:numPr>
        <w:rPr>
          <w:sz w:val="28"/>
          <w:szCs w:val="28"/>
        </w:rPr>
      </w:pPr>
      <w:r w:rsidRPr="00203ACE">
        <w:rPr>
          <w:sz w:val="28"/>
          <w:szCs w:val="28"/>
        </w:rPr>
        <w:t>Descriptive statistics and distribution analysis</w:t>
      </w:r>
    </w:p>
    <w:p w14:paraId="640592E0" w14:textId="3D880C59" w:rsidR="0091242A" w:rsidRPr="00203ACE" w:rsidRDefault="0091242A" w:rsidP="00203ACE">
      <w:pPr>
        <w:numPr>
          <w:ilvl w:val="0"/>
          <w:numId w:val="4"/>
        </w:numPr>
        <w:rPr>
          <w:sz w:val="28"/>
          <w:szCs w:val="28"/>
        </w:rPr>
      </w:pPr>
      <w:r w:rsidRPr="0091242A">
        <w:rPr>
          <w:sz w:val="28"/>
          <w:szCs w:val="28"/>
        </w:rPr>
        <w:lastRenderedPageBreak/>
        <w:t>Creation of multiple univariate, bivariate and multivariate visualisations</w:t>
      </w:r>
    </w:p>
    <w:p w14:paraId="70ADCF51" w14:textId="77777777" w:rsidR="00203ACE" w:rsidRPr="00203ACE" w:rsidRDefault="00203ACE" w:rsidP="00203ACE">
      <w:pPr>
        <w:numPr>
          <w:ilvl w:val="0"/>
          <w:numId w:val="4"/>
        </w:numPr>
        <w:rPr>
          <w:sz w:val="28"/>
          <w:szCs w:val="28"/>
        </w:rPr>
      </w:pPr>
      <w:r w:rsidRPr="00203ACE">
        <w:rPr>
          <w:sz w:val="28"/>
          <w:szCs w:val="28"/>
        </w:rPr>
        <w:t>Visual analysis using:</w:t>
      </w:r>
    </w:p>
    <w:p w14:paraId="56F75CFF" w14:textId="77777777" w:rsidR="00203ACE" w:rsidRPr="00203ACE" w:rsidRDefault="00203ACE" w:rsidP="00203ACE">
      <w:pPr>
        <w:numPr>
          <w:ilvl w:val="1"/>
          <w:numId w:val="4"/>
        </w:numPr>
        <w:rPr>
          <w:sz w:val="28"/>
          <w:szCs w:val="28"/>
        </w:rPr>
      </w:pPr>
      <w:r w:rsidRPr="00203ACE">
        <w:rPr>
          <w:sz w:val="28"/>
          <w:szCs w:val="28"/>
        </w:rPr>
        <w:t>bar charts</w:t>
      </w:r>
    </w:p>
    <w:p w14:paraId="6AB7852A" w14:textId="77777777" w:rsidR="00203ACE" w:rsidRPr="00203ACE" w:rsidRDefault="00203ACE" w:rsidP="00203ACE">
      <w:pPr>
        <w:numPr>
          <w:ilvl w:val="1"/>
          <w:numId w:val="4"/>
        </w:numPr>
        <w:rPr>
          <w:sz w:val="28"/>
          <w:szCs w:val="28"/>
        </w:rPr>
      </w:pPr>
      <w:r w:rsidRPr="00203ACE">
        <w:rPr>
          <w:sz w:val="28"/>
          <w:szCs w:val="28"/>
        </w:rPr>
        <w:t>box plots</w:t>
      </w:r>
    </w:p>
    <w:p w14:paraId="1D7C96FE" w14:textId="77777777" w:rsidR="00203ACE" w:rsidRPr="00203ACE" w:rsidRDefault="00203ACE" w:rsidP="00203ACE">
      <w:pPr>
        <w:numPr>
          <w:ilvl w:val="1"/>
          <w:numId w:val="4"/>
        </w:numPr>
        <w:rPr>
          <w:sz w:val="28"/>
          <w:szCs w:val="28"/>
        </w:rPr>
      </w:pPr>
      <w:r w:rsidRPr="00203ACE">
        <w:rPr>
          <w:sz w:val="28"/>
          <w:szCs w:val="28"/>
        </w:rPr>
        <w:t>count plots</w:t>
      </w:r>
    </w:p>
    <w:p w14:paraId="4FB955FB" w14:textId="77777777" w:rsidR="00203ACE" w:rsidRPr="00203ACE" w:rsidRDefault="00203ACE" w:rsidP="00203ACE">
      <w:pPr>
        <w:numPr>
          <w:ilvl w:val="1"/>
          <w:numId w:val="4"/>
        </w:numPr>
        <w:rPr>
          <w:sz w:val="28"/>
          <w:szCs w:val="28"/>
        </w:rPr>
      </w:pPr>
      <w:r w:rsidRPr="00203ACE">
        <w:rPr>
          <w:sz w:val="28"/>
          <w:szCs w:val="28"/>
        </w:rPr>
        <w:t>heatmaps</w:t>
      </w:r>
    </w:p>
    <w:p w14:paraId="14245182" w14:textId="77777777" w:rsidR="00203ACE" w:rsidRPr="00203ACE" w:rsidRDefault="00203ACE" w:rsidP="00203ACE">
      <w:pPr>
        <w:numPr>
          <w:ilvl w:val="1"/>
          <w:numId w:val="4"/>
        </w:numPr>
        <w:rPr>
          <w:sz w:val="28"/>
          <w:szCs w:val="28"/>
        </w:rPr>
      </w:pPr>
      <w:r w:rsidRPr="00203ACE">
        <w:rPr>
          <w:sz w:val="28"/>
          <w:szCs w:val="28"/>
        </w:rPr>
        <w:t>line charts</w:t>
      </w:r>
    </w:p>
    <w:p w14:paraId="50579B1A" w14:textId="77777777" w:rsidR="00203ACE" w:rsidRPr="0091242A" w:rsidRDefault="00203ACE" w:rsidP="00203ACE">
      <w:pPr>
        <w:numPr>
          <w:ilvl w:val="1"/>
          <w:numId w:val="4"/>
        </w:numPr>
        <w:rPr>
          <w:sz w:val="28"/>
          <w:szCs w:val="28"/>
        </w:rPr>
      </w:pPr>
      <w:r w:rsidRPr="00203ACE">
        <w:rPr>
          <w:sz w:val="28"/>
          <w:szCs w:val="28"/>
        </w:rPr>
        <w:t>pair plots</w:t>
      </w:r>
    </w:p>
    <w:p w14:paraId="0D1E2DB9" w14:textId="208D1CD7" w:rsidR="0091242A" w:rsidRPr="00203ACE" w:rsidRDefault="0091242A" w:rsidP="00203ACE">
      <w:pPr>
        <w:numPr>
          <w:ilvl w:val="1"/>
          <w:numId w:val="4"/>
        </w:numPr>
        <w:rPr>
          <w:sz w:val="28"/>
          <w:szCs w:val="28"/>
        </w:rPr>
      </w:pPr>
      <w:r w:rsidRPr="0091242A">
        <w:rPr>
          <w:sz w:val="28"/>
          <w:szCs w:val="28"/>
        </w:rPr>
        <w:t>Strip plots</w:t>
      </w:r>
    </w:p>
    <w:p w14:paraId="4BE61B19" w14:textId="77777777" w:rsidR="00203ACE" w:rsidRPr="00203ACE" w:rsidRDefault="00203ACE" w:rsidP="00203ACE">
      <w:pPr>
        <w:numPr>
          <w:ilvl w:val="1"/>
          <w:numId w:val="4"/>
        </w:numPr>
        <w:rPr>
          <w:sz w:val="28"/>
          <w:szCs w:val="28"/>
        </w:rPr>
      </w:pPr>
      <w:r w:rsidRPr="00203ACE">
        <w:rPr>
          <w:sz w:val="28"/>
          <w:szCs w:val="28"/>
        </w:rPr>
        <w:t xml:space="preserve">interactive </w:t>
      </w:r>
      <w:proofErr w:type="spellStart"/>
      <w:r w:rsidRPr="00203ACE">
        <w:rPr>
          <w:sz w:val="28"/>
          <w:szCs w:val="28"/>
        </w:rPr>
        <w:t>Plotly</w:t>
      </w:r>
      <w:proofErr w:type="spellEnd"/>
      <w:r w:rsidRPr="00203ACE">
        <w:rPr>
          <w:sz w:val="28"/>
          <w:szCs w:val="28"/>
        </w:rPr>
        <w:t xml:space="preserve"> charts</w:t>
      </w:r>
    </w:p>
    <w:p w14:paraId="55AA6213" w14:textId="77777777" w:rsidR="00203ACE" w:rsidRPr="00203ACE" w:rsidRDefault="00203ACE" w:rsidP="00203ACE">
      <w:pPr>
        <w:numPr>
          <w:ilvl w:val="0"/>
          <w:numId w:val="4"/>
        </w:numPr>
        <w:rPr>
          <w:sz w:val="28"/>
          <w:szCs w:val="28"/>
        </w:rPr>
      </w:pPr>
      <w:r w:rsidRPr="00203ACE">
        <w:rPr>
          <w:sz w:val="28"/>
          <w:szCs w:val="28"/>
        </w:rPr>
        <w:t>Insight extraction and reporting</w:t>
      </w:r>
    </w:p>
    <w:p w14:paraId="0481647F" w14:textId="77777777" w:rsidR="00203ACE" w:rsidRPr="00203ACE" w:rsidRDefault="00000000" w:rsidP="00203ACE">
      <w:pPr>
        <w:rPr>
          <w:sz w:val="28"/>
          <w:szCs w:val="28"/>
        </w:rPr>
      </w:pPr>
      <w:r>
        <w:rPr>
          <w:sz w:val="28"/>
          <w:szCs w:val="28"/>
        </w:rPr>
        <w:pict w14:anchorId="1CB1883E">
          <v:rect id="_x0000_i1029" style="width:0;height:1.5pt" o:hralign="center" o:hrstd="t" o:hr="t" fillcolor="#a0a0a0" stroked="f"/>
        </w:pict>
      </w:r>
    </w:p>
    <w:p w14:paraId="72F91DB2" w14:textId="50F5EF3B" w:rsidR="00203ACE" w:rsidRPr="00203ACE" w:rsidRDefault="00203ACE" w:rsidP="00203ACE">
      <w:pPr>
        <w:rPr>
          <w:b/>
          <w:bCs/>
          <w:sz w:val="28"/>
          <w:szCs w:val="28"/>
        </w:rPr>
      </w:pPr>
      <w:r w:rsidRPr="00203ACE">
        <w:rPr>
          <w:b/>
          <w:bCs/>
          <w:sz w:val="28"/>
          <w:szCs w:val="28"/>
        </w:rPr>
        <w:t>5. Key Insights from Visual Analysis</w:t>
      </w:r>
    </w:p>
    <w:p w14:paraId="59F53364" w14:textId="77777777" w:rsidR="00203ACE" w:rsidRPr="00203ACE" w:rsidRDefault="00203ACE" w:rsidP="00203ACE">
      <w:pPr>
        <w:rPr>
          <w:b/>
          <w:bCs/>
          <w:sz w:val="28"/>
          <w:szCs w:val="28"/>
        </w:rPr>
      </w:pPr>
      <w:r w:rsidRPr="00203ACE">
        <w:rPr>
          <w:b/>
          <w:bCs/>
          <w:sz w:val="28"/>
          <w:szCs w:val="28"/>
        </w:rPr>
        <w:t>Insight 1 – Grade has a strong influence on price</w:t>
      </w:r>
    </w:p>
    <w:p w14:paraId="2EC17BBD" w14:textId="77777777" w:rsidR="00203ACE" w:rsidRPr="00203ACE" w:rsidRDefault="00203ACE" w:rsidP="00203ACE">
      <w:pPr>
        <w:rPr>
          <w:sz w:val="28"/>
          <w:szCs w:val="28"/>
        </w:rPr>
      </w:pPr>
      <w:r w:rsidRPr="00203ACE">
        <w:rPr>
          <w:sz w:val="28"/>
          <w:szCs w:val="28"/>
        </w:rPr>
        <w:t xml:space="preserve">Across all visualisations, higher quality grades such as </w:t>
      </w:r>
      <w:r w:rsidRPr="00203ACE">
        <w:rPr>
          <w:b/>
          <w:bCs/>
          <w:sz w:val="28"/>
          <w:szCs w:val="28"/>
        </w:rPr>
        <w:t>FAQ and grade-range categories</w:t>
      </w:r>
      <w:r w:rsidRPr="00203ACE">
        <w:rPr>
          <w:sz w:val="28"/>
          <w:szCs w:val="28"/>
        </w:rPr>
        <w:t xml:space="preserve"> consistently achieve higher modal prices than Local and Non-FAQ grades.</w:t>
      </w:r>
      <w:r w:rsidRPr="00203ACE">
        <w:rPr>
          <w:sz w:val="28"/>
          <w:szCs w:val="28"/>
        </w:rPr>
        <w:br/>
        <w:t>This confirms that grading directly affects price realisation in Indian markets.</w:t>
      </w:r>
    </w:p>
    <w:p w14:paraId="4FB4D787" w14:textId="77777777" w:rsidR="00203ACE" w:rsidRPr="00203ACE" w:rsidRDefault="00000000" w:rsidP="00203ACE">
      <w:pPr>
        <w:rPr>
          <w:sz w:val="28"/>
          <w:szCs w:val="28"/>
        </w:rPr>
      </w:pPr>
      <w:r>
        <w:rPr>
          <w:sz w:val="28"/>
          <w:szCs w:val="28"/>
        </w:rPr>
        <w:pict w14:anchorId="61C460E7">
          <v:rect id="_x0000_i1030" style="width:0;height:1.5pt" o:hralign="center" o:hrstd="t" o:hr="t" fillcolor="#a0a0a0" stroked="f"/>
        </w:pict>
      </w:r>
    </w:p>
    <w:p w14:paraId="67BD3606" w14:textId="77777777" w:rsidR="00203ACE" w:rsidRPr="00203ACE" w:rsidRDefault="00203ACE" w:rsidP="00203ACE">
      <w:pPr>
        <w:rPr>
          <w:b/>
          <w:bCs/>
          <w:sz w:val="28"/>
          <w:szCs w:val="28"/>
        </w:rPr>
      </w:pPr>
      <w:r w:rsidRPr="00203ACE">
        <w:rPr>
          <w:b/>
          <w:bCs/>
          <w:sz w:val="28"/>
          <w:szCs w:val="28"/>
        </w:rPr>
        <w:t>Insight 2 – Flowers and spices form the high-value segment</w:t>
      </w:r>
    </w:p>
    <w:p w14:paraId="60CE782B" w14:textId="77777777" w:rsidR="00203ACE" w:rsidRPr="00203ACE" w:rsidRDefault="00203ACE" w:rsidP="00203ACE">
      <w:pPr>
        <w:rPr>
          <w:sz w:val="28"/>
          <w:szCs w:val="28"/>
        </w:rPr>
      </w:pPr>
      <w:r w:rsidRPr="00203ACE">
        <w:rPr>
          <w:sz w:val="28"/>
          <w:szCs w:val="28"/>
        </w:rPr>
        <w:t xml:space="preserve">In grade-wise and commodity-wise price charts, </w:t>
      </w:r>
      <w:r w:rsidRPr="00203ACE">
        <w:rPr>
          <w:b/>
          <w:bCs/>
          <w:sz w:val="28"/>
          <w:szCs w:val="28"/>
        </w:rPr>
        <w:t>flowers and spices</w:t>
      </w:r>
      <w:r w:rsidRPr="00203ACE">
        <w:rPr>
          <w:sz w:val="28"/>
          <w:szCs w:val="28"/>
        </w:rPr>
        <w:t xml:space="preserve"> repeatedly appear at the top of the price scale.</w:t>
      </w:r>
      <w:r w:rsidRPr="00203ACE">
        <w:rPr>
          <w:sz w:val="28"/>
          <w:szCs w:val="28"/>
        </w:rPr>
        <w:br/>
        <w:t>They behave as premium commodities with high average modal prices.</w:t>
      </w:r>
    </w:p>
    <w:p w14:paraId="6BE4EA5A" w14:textId="77777777" w:rsidR="00203ACE" w:rsidRPr="00203ACE" w:rsidRDefault="00000000" w:rsidP="00203ACE">
      <w:pPr>
        <w:rPr>
          <w:sz w:val="28"/>
          <w:szCs w:val="28"/>
        </w:rPr>
      </w:pPr>
      <w:r>
        <w:rPr>
          <w:sz w:val="28"/>
          <w:szCs w:val="28"/>
        </w:rPr>
        <w:pict w14:anchorId="45C66877">
          <v:rect id="_x0000_i1031" style="width:0;height:1.5pt" o:hralign="center" o:hrstd="t" o:hr="t" fillcolor="#a0a0a0" stroked="f"/>
        </w:pict>
      </w:r>
    </w:p>
    <w:p w14:paraId="47FF6BA4" w14:textId="77777777" w:rsidR="00203ACE" w:rsidRPr="00203ACE" w:rsidRDefault="00203ACE" w:rsidP="00203ACE">
      <w:pPr>
        <w:rPr>
          <w:b/>
          <w:bCs/>
          <w:sz w:val="28"/>
          <w:szCs w:val="28"/>
        </w:rPr>
      </w:pPr>
      <w:r w:rsidRPr="00203ACE">
        <w:rPr>
          <w:b/>
          <w:bCs/>
          <w:sz w:val="28"/>
          <w:szCs w:val="28"/>
        </w:rPr>
        <w:t>Insight 3 – Vegetables and cereals are low-price but high-volume commodities</w:t>
      </w:r>
    </w:p>
    <w:p w14:paraId="2CD1509D" w14:textId="77777777" w:rsidR="00203ACE" w:rsidRPr="00203ACE" w:rsidRDefault="00203ACE" w:rsidP="00203ACE">
      <w:pPr>
        <w:rPr>
          <w:sz w:val="28"/>
          <w:szCs w:val="28"/>
        </w:rPr>
      </w:pPr>
      <w:r w:rsidRPr="00203ACE">
        <w:rPr>
          <w:sz w:val="28"/>
          <w:szCs w:val="28"/>
        </w:rPr>
        <w:t>Count-based charts and distribution plots clearly show that vegetables and cereals appear most frequently in the dataset.</w:t>
      </w:r>
      <w:r w:rsidRPr="00203ACE">
        <w:rPr>
          <w:sz w:val="28"/>
          <w:szCs w:val="28"/>
        </w:rPr>
        <w:br/>
      </w:r>
      <w:r w:rsidRPr="00203ACE">
        <w:rPr>
          <w:sz w:val="28"/>
          <w:szCs w:val="28"/>
        </w:rPr>
        <w:lastRenderedPageBreak/>
        <w:t>However, their prices remain relatively lower compared to other commodity categories.</w:t>
      </w:r>
    </w:p>
    <w:p w14:paraId="750E6F4C" w14:textId="77777777" w:rsidR="00203ACE" w:rsidRPr="00203ACE" w:rsidRDefault="00203ACE" w:rsidP="00203ACE">
      <w:pPr>
        <w:rPr>
          <w:sz w:val="28"/>
          <w:szCs w:val="28"/>
        </w:rPr>
      </w:pPr>
      <w:r w:rsidRPr="00203ACE">
        <w:rPr>
          <w:sz w:val="28"/>
          <w:szCs w:val="28"/>
        </w:rPr>
        <w:t>This indicates volume-driven markets with relatively smaller margins.</w:t>
      </w:r>
    </w:p>
    <w:p w14:paraId="45D0B5C3" w14:textId="77777777" w:rsidR="00203ACE" w:rsidRPr="00203ACE" w:rsidRDefault="00000000" w:rsidP="00203ACE">
      <w:pPr>
        <w:rPr>
          <w:sz w:val="28"/>
          <w:szCs w:val="28"/>
        </w:rPr>
      </w:pPr>
      <w:r>
        <w:rPr>
          <w:sz w:val="28"/>
          <w:szCs w:val="28"/>
        </w:rPr>
        <w:pict w14:anchorId="67A2824E">
          <v:rect id="_x0000_i1032" style="width:0;height:1.5pt" o:hralign="center" o:hrstd="t" o:hr="t" fillcolor="#a0a0a0" stroked="f"/>
        </w:pict>
      </w:r>
    </w:p>
    <w:p w14:paraId="72D9DD1E" w14:textId="77777777" w:rsidR="00203ACE" w:rsidRPr="00203ACE" w:rsidRDefault="00203ACE" w:rsidP="00203ACE">
      <w:pPr>
        <w:rPr>
          <w:b/>
          <w:bCs/>
          <w:sz w:val="28"/>
          <w:szCs w:val="28"/>
        </w:rPr>
      </w:pPr>
      <w:r w:rsidRPr="00203ACE">
        <w:rPr>
          <w:b/>
          <w:bCs/>
          <w:sz w:val="28"/>
          <w:szCs w:val="28"/>
        </w:rPr>
        <w:t>Insight 4 – Significant interstate and inter-market price variation exists</w:t>
      </w:r>
    </w:p>
    <w:p w14:paraId="2B04BB97" w14:textId="77777777" w:rsidR="00203ACE" w:rsidRPr="00203ACE" w:rsidRDefault="00203ACE" w:rsidP="00203ACE">
      <w:pPr>
        <w:rPr>
          <w:sz w:val="28"/>
          <w:szCs w:val="28"/>
        </w:rPr>
      </w:pPr>
      <w:r w:rsidRPr="00203ACE">
        <w:rPr>
          <w:sz w:val="28"/>
          <w:szCs w:val="28"/>
        </w:rPr>
        <w:t>The state-level and market-level average price charts show large differences in modal prices between states and markets.</w:t>
      </w:r>
      <w:r w:rsidRPr="00203ACE">
        <w:rPr>
          <w:sz w:val="28"/>
          <w:szCs w:val="28"/>
        </w:rPr>
        <w:br/>
        <w:t>Some states and markets consistently show much higher prices than others.</w:t>
      </w:r>
    </w:p>
    <w:p w14:paraId="6F9D54B6" w14:textId="77777777" w:rsidR="00203ACE" w:rsidRPr="00203ACE" w:rsidRDefault="00203ACE" w:rsidP="00203ACE">
      <w:pPr>
        <w:rPr>
          <w:sz w:val="28"/>
          <w:szCs w:val="28"/>
        </w:rPr>
      </w:pPr>
      <w:r w:rsidRPr="00203ACE">
        <w:rPr>
          <w:sz w:val="28"/>
          <w:szCs w:val="28"/>
        </w:rPr>
        <w:t>This reflects strong regional market behaviour and demand–supply differences.</w:t>
      </w:r>
    </w:p>
    <w:p w14:paraId="01C7C78D" w14:textId="77777777" w:rsidR="00203ACE" w:rsidRPr="00203ACE" w:rsidRDefault="00000000" w:rsidP="00203ACE">
      <w:pPr>
        <w:rPr>
          <w:sz w:val="28"/>
          <w:szCs w:val="28"/>
        </w:rPr>
      </w:pPr>
      <w:r>
        <w:rPr>
          <w:sz w:val="28"/>
          <w:szCs w:val="28"/>
        </w:rPr>
        <w:pict w14:anchorId="606DEBCF">
          <v:rect id="_x0000_i1033" style="width:0;height:1.5pt" o:hralign="center" o:hrstd="t" o:hr="t" fillcolor="#a0a0a0" stroked="f"/>
        </w:pict>
      </w:r>
    </w:p>
    <w:p w14:paraId="683F2265" w14:textId="77777777" w:rsidR="00203ACE" w:rsidRPr="00203ACE" w:rsidRDefault="00203ACE" w:rsidP="00203ACE">
      <w:pPr>
        <w:rPr>
          <w:b/>
          <w:bCs/>
          <w:sz w:val="28"/>
          <w:szCs w:val="28"/>
        </w:rPr>
      </w:pPr>
      <w:r w:rsidRPr="00203ACE">
        <w:rPr>
          <w:b/>
          <w:bCs/>
          <w:sz w:val="28"/>
          <w:szCs w:val="28"/>
        </w:rPr>
        <w:t>Insight 5 – Certain markets show very high price volatility</w:t>
      </w:r>
    </w:p>
    <w:p w14:paraId="5917630B" w14:textId="77777777" w:rsidR="00203ACE" w:rsidRPr="00203ACE" w:rsidRDefault="00203ACE" w:rsidP="00203ACE">
      <w:pPr>
        <w:rPr>
          <w:sz w:val="28"/>
          <w:szCs w:val="28"/>
        </w:rPr>
      </w:pPr>
      <w:r w:rsidRPr="00203ACE">
        <w:rPr>
          <w:sz w:val="28"/>
          <w:szCs w:val="28"/>
        </w:rPr>
        <w:t>From the market-wise variation analysis, a small number of markets show exceptionally large price fluctuations.</w:t>
      </w:r>
      <w:r w:rsidRPr="00203ACE">
        <w:rPr>
          <w:sz w:val="28"/>
          <w:szCs w:val="28"/>
        </w:rPr>
        <w:br/>
        <w:t>These markets act as high-risk trading zones.</w:t>
      </w:r>
    </w:p>
    <w:p w14:paraId="713F927B" w14:textId="77777777" w:rsidR="00203ACE" w:rsidRPr="00203ACE" w:rsidRDefault="00000000" w:rsidP="00203ACE">
      <w:pPr>
        <w:rPr>
          <w:sz w:val="28"/>
          <w:szCs w:val="28"/>
        </w:rPr>
      </w:pPr>
      <w:r>
        <w:rPr>
          <w:sz w:val="28"/>
          <w:szCs w:val="28"/>
        </w:rPr>
        <w:pict w14:anchorId="73FC5F9A">
          <v:rect id="_x0000_i1034" style="width:0;height:1.5pt" o:hralign="center" o:hrstd="t" o:hr="t" fillcolor="#a0a0a0" stroked="f"/>
        </w:pict>
      </w:r>
    </w:p>
    <w:p w14:paraId="2EE371B2" w14:textId="77777777" w:rsidR="00203ACE" w:rsidRPr="00203ACE" w:rsidRDefault="00203ACE" w:rsidP="00203ACE">
      <w:pPr>
        <w:rPr>
          <w:b/>
          <w:bCs/>
          <w:sz w:val="28"/>
          <w:szCs w:val="28"/>
        </w:rPr>
      </w:pPr>
      <w:r w:rsidRPr="00203ACE">
        <w:rPr>
          <w:b/>
          <w:bCs/>
          <w:sz w:val="28"/>
          <w:szCs w:val="28"/>
        </w:rPr>
        <w:t>Insight 6 – District-wise heatmap highlights premium commodity influence</w:t>
      </w:r>
    </w:p>
    <w:p w14:paraId="668D7AA0" w14:textId="77777777" w:rsidR="00203ACE" w:rsidRPr="00203ACE" w:rsidRDefault="00203ACE" w:rsidP="00203ACE">
      <w:pPr>
        <w:rPr>
          <w:sz w:val="28"/>
          <w:szCs w:val="28"/>
        </w:rPr>
      </w:pPr>
      <w:r w:rsidRPr="00203ACE">
        <w:rPr>
          <w:sz w:val="28"/>
          <w:szCs w:val="28"/>
        </w:rPr>
        <w:t>The district versus commodity-type heatmap shows that most high-price concentration is driven by:</w:t>
      </w:r>
    </w:p>
    <w:p w14:paraId="5CA63878" w14:textId="77777777" w:rsidR="00203ACE" w:rsidRPr="00203ACE" w:rsidRDefault="00203ACE" w:rsidP="00203ACE">
      <w:pPr>
        <w:numPr>
          <w:ilvl w:val="0"/>
          <w:numId w:val="5"/>
        </w:numPr>
        <w:rPr>
          <w:sz w:val="28"/>
          <w:szCs w:val="28"/>
        </w:rPr>
      </w:pPr>
      <w:r w:rsidRPr="00203ACE">
        <w:rPr>
          <w:sz w:val="28"/>
          <w:szCs w:val="28"/>
        </w:rPr>
        <w:t>flower commodities,</w:t>
      </w:r>
    </w:p>
    <w:p w14:paraId="6FD14675" w14:textId="77777777" w:rsidR="00203ACE" w:rsidRPr="00203ACE" w:rsidRDefault="00203ACE" w:rsidP="00203ACE">
      <w:pPr>
        <w:numPr>
          <w:ilvl w:val="0"/>
          <w:numId w:val="5"/>
        </w:numPr>
        <w:rPr>
          <w:sz w:val="28"/>
          <w:szCs w:val="28"/>
        </w:rPr>
      </w:pPr>
      <w:r w:rsidRPr="00203ACE">
        <w:rPr>
          <w:sz w:val="28"/>
          <w:szCs w:val="28"/>
        </w:rPr>
        <w:t>spice commodities, and</w:t>
      </w:r>
    </w:p>
    <w:p w14:paraId="4A88E1CD" w14:textId="77777777" w:rsidR="00203ACE" w:rsidRPr="00203ACE" w:rsidRDefault="00203ACE" w:rsidP="00203ACE">
      <w:pPr>
        <w:numPr>
          <w:ilvl w:val="0"/>
          <w:numId w:val="5"/>
        </w:numPr>
        <w:rPr>
          <w:sz w:val="28"/>
          <w:szCs w:val="28"/>
        </w:rPr>
      </w:pPr>
      <w:r w:rsidRPr="00203ACE">
        <w:rPr>
          <w:sz w:val="28"/>
          <w:szCs w:val="28"/>
        </w:rPr>
        <w:t>selected speciality items.</w:t>
      </w:r>
    </w:p>
    <w:p w14:paraId="004B5383" w14:textId="77777777" w:rsidR="00203ACE" w:rsidRPr="00203ACE" w:rsidRDefault="00203ACE" w:rsidP="00203ACE">
      <w:pPr>
        <w:rPr>
          <w:sz w:val="28"/>
          <w:szCs w:val="28"/>
        </w:rPr>
      </w:pPr>
      <w:r w:rsidRPr="00203ACE">
        <w:rPr>
          <w:sz w:val="28"/>
          <w:szCs w:val="28"/>
        </w:rPr>
        <w:t>Vegetables remain comparatively stable across districts.</w:t>
      </w:r>
    </w:p>
    <w:p w14:paraId="64CF7A7D" w14:textId="77777777" w:rsidR="00203ACE" w:rsidRPr="00203ACE" w:rsidRDefault="00000000" w:rsidP="00203ACE">
      <w:pPr>
        <w:rPr>
          <w:sz w:val="28"/>
          <w:szCs w:val="28"/>
        </w:rPr>
      </w:pPr>
      <w:r>
        <w:rPr>
          <w:sz w:val="28"/>
          <w:szCs w:val="28"/>
        </w:rPr>
        <w:pict w14:anchorId="33EC9D5E">
          <v:rect id="_x0000_i1035" style="width:0;height:1.5pt" o:hralign="center" o:hrstd="t" o:hr="t" fillcolor="#a0a0a0" stroked="f"/>
        </w:pict>
      </w:r>
    </w:p>
    <w:p w14:paraId="069B0C92" w14:textId="77777777" w:rsidR="00203ACE" w:rsidRPr="00203ACE" w:rsidRDefault="00203ACE" w:rsidP="00203ACE">
      <w:pPr>
        <w:rPr>
          <w:b/>
          <w:bCs/>
          <w:sz w:val="28"/>
          <w:szCs w:val="28"/>
        </w:rPr>
      </w:pPr>
      <w:r w:rsidRPr="00203ACE">
        <w:rPr>
          <w:b/>
          <w:bCs/>
          <w:sz w:val="28"/>
          <w:szCs w:val="28"/>
        </w:rPr>
        <w:t>Insight 7 – Wheat and paddy dominate cereal trading</w:t>
      </w:r>
    </w:p>
    <w:p w14:paraId="053DE1E8" w14:textId="77777777" w:rsidR="00203ACE" w:rsidRPr="00203ACE" w:rsidRDefault="00203ACE" w:rsidP="00203ACE">
      <w:pPr>
        <w:rPr>
          <w:sz w:val="28"/>
          <w:szCs w:val="28"/>
        </w:rPr>
      </w:pPr>
      <w:r w:rsidRPr="00203ACE">
        <w:rPr>
          <w:sz w:val="28"/>
          <w:szCs w:val="28"/>
        </w:rPr>
        <w:t>In the “Top 5 commodities in each commodity type” visualisation, wheat and common paddy dominate the cereal and millet group by record count.</w:t>
      </w:r>
      <w:r w:rsidRPr="00203ACE">
        <w:rPr>
          <w:sz w:val="28"/>
          <w:szCs w:val="28"/>
        </w:rPr>
        <w:br/>
        <w:t>They form the core of cereal-based market activity.</w:t>
      </w:r>
    </w:p>
    <w:p w14:paraId="321042D8" w14:textId="77777777" w:rsidR="00203ACE" w:rsidRPr="00203ACE" w:rsidRDefault="00000000" w:rsidP="00203ACE">
      <w:pPr>
        <w:rPr>
          <w:sz w:val="28"/>
          <w:szCs w:val="28"/>
        </w:rPr>
      </w:pPr>
      <w:r>
        <w:rPr>
          <w:sz w:val="28"/>
          <w:szCs w:val="28"/>
        </w:rPr>
        <w:pict w14:anchorId="175DF3E5">
          <v:rect id="_x0000_i1036" style="width:0;height:1.5pt" o:hralign="center" o:hrstd="t" o:hr="t" fillcolor="#a0a0a0" stroked="f"/>
        </w:pict>
      </w:r>
    </w:p>
    <w:p w14:paraId="34E12FD6" w14:textId="77777777" w:rsidR="00203ACE" w:rsidRPr="00203ACE" w:rsidRDefault="00203ACE" w:rsidP="00203ACE">
      <w:pPr>
        <w:rPr>
          <w:b/>
          <w:bCs/>
          <w:sz w:val="28"/>
          <w:szCs w:val="28"/>
        </w:rPr>
      </w:pPr>
      <w:r w:rsidRPr="00203ACE">
        <w:rPr>
          <w:b/>
          <w:bCs/>
          <w:sz w:val="28"/>
          <w:szCs w:val="28"/>
        </w:rPr>
        <w:t>Insight 8 – Soyabean dominates the oilseed segment</w:t>
      </w:r>
    </w:p>
    <w:p w14:paraId="3DF4F6A4" w14:textId="77777777" w:rsidR="00203ACE" w:rsidRPr="00203ACE" w:rsidRDefault="00203ACE" w:rsidP="00203ACE">
      <w:pPr>
        <w:rPr>
          <w:sz w:val="28"/>
          <w:szCs w:val="28"/>
        </w:rPr>
      </w:pPr>
      <w:r w:rsidRPr="00203ACE">
        <w:rPr>
          <w:sz w:val="28"/>
          <w:szCs w:val="28"/>
        </w:rPr>
        <w:lastRenderedPageBreak/>
        <w:t>Oilseed analysis clearly shows soyabean contributing the highest number of market records.</w:t>
      </w:r>
      <w:r w:rsidRPr="00203ACE">
        <w:rPr>
          <w:sz w:val="28"/>
          <w:szCs w:val="28"/>
        </w:rPr>
        <w:br/>
        <w:t>This implies that overall oilseed price trends are largely influenced by soyabean.</w:t>
      </w:r>
    </w:p>
    <w:p w14:paraId="79A6B982" w14:textId="77777777" w:rsidR="00203ACE" w:rsidRPr="00203ACE" w:rsidRDefault="00000000" w:rsidP="00203ACE">
      <w:pPr>
        <w:rPr>
          <w:sz w:val="28"/>
          <w:szCs w:val="28"/>
        </w:rPr>
      </w:pPr>
      <w:r>
        <w:rPr>
          <w:sz w:val="28"/>
          <w:szCs w:val="28"/>
        </w:rPr>
        <w:pict w14:anchorId="0A625C61">
          <v:rect id="_x0000_i1037" style="width:0;height:1.5pt" o:hralign="center" o:hrstd="t" o:hr="t" fillcolor="#a0a0a0" stroked="f"/>
        </w:pict>
      </w:r>
    </w:p>
    <w:p w14:paraId="0C279875" w14:textId="77777777" w:rsidR="00203ACE" w:rsidRPr="00203ACE" w:rsidRDefault="00203ACE" w:rsidP="00203ACE">
      <w:pPr>
        <w:rPr>
          <w:b/>
          <w:bCs/>
          <w:sz w:val="28"/>
          <w:szCs w:val="28"/>
        </w:rPr>
      </w:pPr>
      <w:r w:rsidRPr="00203ACE">
        <w:rPr>
          <w:b/>
          <w:bCs/>
          <w:sz w:val="28"/>
          <w:szCs w:val="28"/>
        </w:rPr>
        <w:t>Insight 9 – Livestock and pulse commodities have limited representation</w:t>
      </w:r>
    </w:p>
    <w:p w14:paraId="66106717" w14:textId="77777777" w:rsidR="00203ACE" w:rsidRPr="00203ACE" w:rsidRDefault="00203ACE" w:rsidP="00203ACE">
      <w:pPr>
        <w:rPr>
          <w:sz w:val="28"/>
          <w:szCs w:val="28"/>
        </w:rPr>
      </w:pPr>
      <w:r w:rsidRPr="00203ACE">
        <w:rPr>
          <w:sz w:val="28"/>
          <w:szCs w:val="28"/>
        </w:rPr>
        <w:t>The livestock and pulse categories appear with very small counts compared to vegetables, cereals and fruits.</w:t>
      </w:r>
      <w:r w:rsidRPr="00203ACE">
        <w:rPr>
          <w:sz w:val="28"/>
          <w:szCs w:val="28"/>
        </w:rPr>
        <w:br/>
        <w:t>This limits the reliability of conclusions for these two categories.</w:t>
      </w:r>
    </w:p>
    <w:p w14:paraId="1E4FCC1A" w14:textId="77777777" w:rsidR="00203ACE" w:rsidRPr="00203ACE" w:rsidRDefault="00000000" w:rsidP="00203ACE">
      <w:pPr>
        <w:rPr>
          <w:sz w:val="28"/>
          <w:szCs w:val="28"/>
        </w:rPr>
      </w:pPr>
      <w:r>
        <w:rPr>
          <w:sz w:val="28"/>
          <w:szCs w:val="28"/>
        </w:rPr>
        <w:pict w14:anchorId="7A7EB3F3">
          <v:rect id="_x0000_i1038" style="width:0;height:1.5pt" o:hralign="center" o:hrstd="t" o:hr="t" fillcolor="#a0a0a0" stroked="f"/>
        </w:pict>
      </w:r>
    </w:p>
    <w:p w14:paraId="7655C6C0" w14:textId="77777777" w:rsidR="00203ACE" w:rsidRPr="00203ACE" w:rsidRDefault="00203ACE" w:rsidP="00203ACE">
      <w:pPr>
        <w:rPr>
          <w:b/>
          <w:bCs/>
          <w:sz w:val="28"/>
          <w:szCs w:val="28"/>
        </w:rPr>
      </w:pPr>
      <w:r w:rsidRPr="00203ACE">
        <w:rPr>
          <w:b/>
          <w:bCs/>
          <w:sz w:val="28"/>
          <w:szCs w:val="28"/>
        </w:rPr>
        <w:t>Insight 10 – High price does not mean high market participation</w:t>
      </w:r>
    </w:p>
    <w:p w14:paraId="53B6B4A0" w14:textId="77777777" w:rsidR="00203ACE" w:rsidRPr="00203ACE" w:rsidRDefault="00203ACE" w:rsidP="00203ACE">
      <w:pPr>
        <w:rPr>
          <w:sz w:val="28"/>
          <w:szCs w:val="28"/>
        </w:rPr>
      </w:pPr>
      <w:r w:rsidRPr="00203ACE">
        <w:rPr>
          <w:sz w:val="28"/>
          <w:szCs w:val="28"/>
        </w:rPr>
        <w:t>The combined count versus price visualisation shows that many high-priced commodities have very low market activity, while frequently traded commodities usually have lower prices.</w:t>
      </w:r>
      <w:r w:rsidRPr="00203ACE">
        <w:rPr>
          <w:sz w:val="28"/>
          <w:szCs w:val="28"/>
        </w:rPr>
        <w:br/>
        <w:t>This demonstrates a clear separation between high-value and high-volume commodities.</w:t>
      </w:r>
    </w:p>
    <w:p w14:paraId="233C4827" w14:textId="77777777" w:rsidR="00203ACE" w:rsidRPr="00203ACE" w:rsidRDefault="00000000" w:rsidP="00203ACE">
      <w:pPr>
        <w:rPr>
          <w:sz w:val="28"/>
          <w:szCs w:val="28"/>
        </w:rPr>
      </w:pPr>
      <w:r>
        <w:rPr>
          <w:sz w:val="28"/>
          <w:szCs w:val="28"/>
        </w:rPr>
        <w:pict w14:anchorId="69CA72C0">
          <v:rect id="_x0000_i1039" style="width:0;height:1.5pt" o:hralign="center" o:hrstd="t" o:hr="t" fillcolor="#a0a0a0" stroked="f"/>
        </w:pict>
      </w:r>
    </w:p>
    <w:p w14:paraId="5AA8B477" w14:textId="77777777" w:rsidR="00203ACE" w:rsidRPr="00203ACE" w:rsidRDefault="00203ACE" w:rsidP="00203ACE">
      <w:pPr>
        <w:rPr>
          <w:b/>
          <w:bCs/>
          <w:sz w:val="28"/>
          <w:szCs w:val="28"/>
        </w:rPr>
      </w:pPr>
      <w:r w:rsidRPr="00203ACE">
        <w:rPr>
          <w:b/>
          <w:bCs/>
          <w:sz w:val="28"/>
          <w:szCs w:val="28"/>
        </w:rPr>
        <w:t>Insight 11 – Modal price distribution is right-skewed</w:t>
      </w:r>
    </w:p>
    <w:p w14:paraId="15203132" w14:textId="77777777" w:rsidR="00203ACE" w:rsidRPr="00203ACE" w:rsidRDefault="00203ACE" w:rsidP="00203ACE">
      <w:pPr>
        <w:rPr>
          <w:sz w:val="28"/>
          <w:szCs w:val="28"/>
        </w:rPr>
      </w:pPr>
      <w:r w:rsidRPr="00203ACE">
        <w:rPr>
          <w:sz w:val="28"/>
          <w:szCs w:val="28"/>
        </w:rPr>
        <w:t>The histogram of modal prices shows that most records lie in the lower price range, with a small number of very high-priced observations forming a long tail.</w:t>
      </w:r>
    </w:p>
    <w:p w14:paraId="0F0BF73A" w14:textId="77777777" w:rsidR="00203ACE" w:rsidRPr="00203ACE" w:rsidRDefault="00203ACE" w:rsidP="00203ACE">
      <w:pPr>
        <w:rPr>
          <w:sz w:val="28"/>
          <w:szCs w:val="28"/>
        </w:rPr>
      </w:pPr>
      <w:r w:rsidRPr="00203ACE">
        <w:rPr>
          <w:sz w:val="28"/>
          <w:szCs w:val="28"/>
        </w:rPr>
        <w:t>This indicates that a small set of premium commodities strongly influences the overall price range.</w:t>
      </w:r>
    </w:p>
    <w:p w14:paraId="5918180D" w14:textId="77777777" w:rsidR="00203ACE" w:rsidRPr="00203ACE" w:rsidRDefault="00000000" w:rsidP="00203ACE">
      <w:pPr>
        <w:rPr>
          <w:sz w:val="28"/>
          <w:szCs w:val="28"/>
        </w:rPr>
      </w:pPr>
      <w:r>
        <w:rPr>
          <w:sz w:val="28"/>
          <w:szCs w:val="28"/>
        </w:rPr>
        <w:pict w14:anchorId="16A12B29">
          <v:rect id="_x0000_i1040" style="width:0;height:1.5pt" o:hralign="center" o:hrstd="t" o:hr="t" fillcolor="#a0a0a0" stroked="f"/>
        </w:pict>
      </w:r>
    </w:p>
    <w:p w14:paraId="0C5F9C78" w14:textId="77777777" w:rsidR="00203ACE" w:rsidRPr="00203ACE" w:rsidRDefault="00203ACE" w:rsidP="00203ACE">
      <w:pPr>
        <w:rPr>
          <w:b/>
          <w:bCs/>
          <w:sz w:val="28"/>
          <w:szCs w:val="28"/>
        </w:rPr>
      </w:pPr>
      <w:r w:rsidRPr="00203ACE">
        <w:rPr>
          <w:b/>
          <w:bCs/>
          <w:sz w:val="28"/>
          <w:szCs w:val="28"/>
        </w:rPr>
        <w:t>Insight 12 – Short-term price movements are volatile</w:t>
      </w:r>
    </w:p>
    <w:p w14:paraId="4B0250BB" w14:textId="77777777" w:rsidR="00203ACE" w:rsidRPr="00203ACE" w:rsidRDefault="00203ACE" w:rsidP="00203ACE">
      <w:pPr>
        <w:rPr>
          <w:sz w:val="28"/>
          <w:szCs w:val="28"/>
        </w:rPr>
      </w:pPr>
      <w:r w:rsidRPr="00203ACE">
        <w:rPr>
          <w:sz w:val="28"/>
          <w:szCs w:val="28"/>
        </w:rPr>
        <w:t>The average modal price over time plot shows frequent rises and falls rather than a stable trend.</w:t>
      </w:r>
      <w:r w:rsidRPr="00203ACE">
        <w:rPr>
          <w:sz w:val="28"/>
          <w:szCs w:val="28"/>
        </w:rPr>
        <w:br/>
        <w:t>Short-term arrivals and market conditions strongly affect daily prices.</w:t>
      </w:r>
    </w:p>
    <w:p w14:paraId="32DFE50F" w14:textId="77777777" w:rsidR="00203ACE" w:rsidRPr="00203ACE" w:rsidRDefault="00000000" w:rsidP="00203ACE">
      <w:pPr>
        <w:rPr>
          <w:sz w:val="28"/>
          <w:szCs w:val="28"/>
        </w:rPr>
      </w:pPr>
      <w:r>
        <w:rPr>
          <w:sz w:val="28"/>
          <w:szCs w:val="28"/>
        </w:rPr>
        <w:pict w14:anchorId="40017D97">
          <v:rect id="_x0000_i1041" style="width:0;height:1.5pt" o:hralign="center" o:hrstd="t" o:hr="t" fillcolor="#a0a0a0" stroked="f"/>
        </w:pict>
      </w:r>
    </w:p>
    <w:p w14:paraId="52634318" w14:textId="77777777" w:rsidR="00203ACE" w:rsidRPr="00203ACE" w:rsidRDefault="00203ACE" w:rsidP="00203ACE">
      <w:pPr>
        <w:rPr>
          <w:b/>
          <w:bCs/>
          <w:sz w:val="28"/>
          <w:szCs w:val="28"/>
        </w:rPr>
      </w:pPr>
      <w:r w:rsidRPr="00203ACE">
        <w:rPr>
          <w:b/>
          <w:bCs/>
          <w:sz w:val="28"/>
          <w:szCs w:val="28"/>
        </w:rPr>
        <w:t>6. Overall Conclusion</w:t>
      </w:r>
    </w:p>
    <w:p w14:paraId="4511D6F8" w14:textId="77777777" w:rsidR="00203ACE" w:rsidRPr="00203ACE" w:rsidRDefault="00203ACE" w:rsidP="00203ACE">
      <w:pPr>
        <w:rPr>
          <w:sz w:val="28"/>
          <w:szCs w:val="28"/>
        </w:rPr>
      </w:pPr>
      <w:r w:rsidRPr="00203ACE">
        <w:rPr>
          <w:sz w:val="28"/>
          <w:szCs w:val="28"/>
        </w:rPr>
        <w:lastRenderedPageBreak/>
        <w:t>The analysis reveals a clear structural separation in Indian agricultural markets:</w:t>
      </w:r>
    </w:p>
    <w:p w14:paraId="5870CD78" w14:textId="77777777" w:rsidR="00203ACE" w:rsidRPr="00203ACE" w:rsidRDefault="00203ACE" w:rsidP="00203ACE">
      <w:pPr>
        <w:numPr>
          <w:ilvl w:val="0"/>
          <w:numId w:val="6"/>
        </w:numPr>
        <w:rPr>
          <w:sz w:val="28"/>
          <w:szCs w:val="28"/>
        </w:rPr>
      </w:pPr>
      <w:r w:rsidRPr="00203ACE">
        <w:rPr>
          <w:b/>
          <w:bCs/>
          <w:sz w:val="28"/>
          <w:szCs w:val="28"/>
        </w:rPr>
        <w:t>High-volume and relatively low-price commodities</w:t>
      </w:r>
      <w:r w:rsidRPr="00203ACE">
        <w:rPr>
          <w:sz w:val="28"/>
          <w:szCs w:val="28"/>
        </w:rPr>
        <w:br/>
        <w:t>such as vegetables and cereals dominate market activity.</w:t>
      </w:r>
    </w:p>
    <w:p w14:paraId="7A876B94" w14:textId="77777777" w:rsidR="00203ACE" w:rsidRPr="00203ACE" w:rsidRDefault="00203ACE" w:rsidP="00203ACE">
      <w:pPr>
        <w:numPr>
          <w:ilvl w:val="0"/>
          <w:numId w:val="6"/>
        </w:numPr>
        <w:rPr>
          <w:sz w:val="28"/>
          <w:szCs w:val="28"/>
        </w:rPr>
      </w:pPr>
      <w:r w:rsidRPr="00203ACE">
        <w:rPr>
          <w:b/>
          <w:bCs/>
          <w:sz w:val="28"/>
          <w:szCs w:val="28"/>
        </w:rPr>
        <w:t>Low-volume but high-price commodities</w:t>
      </w:r>
      <w:r w:rsidRPr="00203ACE">
        <w:rPr>
          <w:sz w:val="28"/>
          <w:szCs w:val="28"/>
        </w:rPr>
        <w:br/>
        <w:t>such as flowers and spices form a premium segment.</w:t>
      </w:r>
    </w:p>
    <w:p w14:paraId="3836F7B0" w14:textId="77777777" w:rsidR="00203ACE" w:rsidRPr="00203ACE" w:rsidRDefault="00203ACE" w:rsidP="00203ACE">
      <w:pPr>
        <w:rPr>
          <w:sz w:val="28"/>
          <w:szCs w:val="28"/>
        </w:rPr>
      </w:pPr>
      <w:r w:rsidRPr="00203ACE">
        <w:rPr>
          <w:sz w:val="28"/>
          <w:szCs w:val="28"/>
        </w:rPr>
        <w:t>Commodity grade plays a crucial role in price formation.</w:t>
      </w:r>
      <w:r w:rsidRPr="00203ACE">
        <w:rPr>
          <w:sz w:val="28"/>
          <w:szCs w:val="28"/>
        </w:rPr>
        <w:br/>
        <w:t>Regional and market-level differences significantly influence price behaviour, and a small number of markets exhibit high volatility.</w:t>
      </w:r>
    </w:p>
    <w:p w14:paraId="2FC8FC92" w14:textId="77777777" w:rsidR="00203ACE" w:rsidRPr="00203ACE" w:rsidRDefault="00203ACE" w:rsidP="00203ACE">
      <w:pPr>
        <w:rPr>
          <w:sz w:val="28"/>
          <w:szCs w:val="28"/>
        </w:rPr>
      </w:pPr>
      <w:r w:rsidRPr="00203ACE">
        <w:rPr>
          <w:sz w:val="28"/>
          <w:szCs w:val="28"/>
        </w:rPr>
        <w:t>The study demonstrates that descriptive and interactive visual analytics can effectively support market intelligence and operational decisions.</w:t>
      </w:r>
    </w:p>
    <w:p w14:paraId="4C8E3A84" w14:textId="77777777" w:rsidR="00203ACE" w:rsidRPr="00203ACE" w:rsidRDefault="00000000" w:rsidP="00203ACE">
      <w:pPr>
        <w:rPr>
          <w:sz w:val="28"/>
          <w:szCs w:val="28"/>
        </w:rPr>
      </w:pPr>
      <w:r>
        <w:rPr>
          <w:sz w:val="28"/>
          <w:szCs w:val="28"/>
        </w:rPr>
        <w:pict w14:anchorId="143BDE74">
          <v:rect id="_x0000_i1042" style="width:0;height:1.5pt" o:hralign="center" o:hrstd="t" o:hr="t" fillcolor="#a0a0a0" stroked="f"/>
        </w:pict>
      </w:r>
    </w:p>
    <w:p w14:paraId="0767ACC1" w14:textId="77777777" w:rsidR="00203ACE" w:rsidRPr="00203ACE" w:rsidRDefault="00203ACE" w:rsidP="00203ACE">
      <w:pPr>
        <w:rPr>
          <w:b/>
          <w:bCs/>
          <w:sz w:val="28"/>
          <w:szCs w:val="28"/>
        </w:rPr>
      </w:pPr>
      <w:r w:rsidRPr="00203ACE">
        <w:rPr>
          <w:b/>
          <w:bCs/>
          <w:sz w:val="28"/>
          <w:szCs w:val="28"/>
        </w:rPr>
        <w:t>7. Limitations and Demerits of the Dataset</w:t>
      </w:r>
    </w:p>
    <w:p w14:paraId="2F5B1093" w14:textId="77777777" w:rsidR="00203ACE" w:rsidRPr="00203ACE" w:rsidRDefault="00203ACE" w:rsidP="00203ACE">
      <w:pPr>
        <w:numPr>
          <w:ilvl w:val="0"/>
          <w:numId w:val="7"/>
        </w:numPr>
        <w:rPr>
          <w:sz w:val="28"/>
          <w:szCs w:val="28"/>
        </w:rPr>
      </w:pPr>
      <w:r w:rsidRPr="00203ACE">
        <w:rPr>
          <w:sz w:val="28"/>
          <w:szCs w:val="28"/>
        </w:rPr>
        <w:t>Arrival quantity or traded volume is not available, limiting demand–supply analysis.</w:t>
      </w:r>
    </w:p>
    <w:p w14:paraId="5397B48A" w14:textId="77777777" w:rsidR="00203ACE" w:rsidRPr="00203ACE" w:rsidRDefault="00203ACE" w:rsidP="00203ACE">
      <w:pPr>
        <w:numPr>
          <w:ilvl w:val="0"/>
          <w:numId w:val="7"/>
        </w:numPr>
        <w:rPr>
          <w:sz w:val="28"/>
          <w:szCs w:val="28"/>
        </w:rPr>
      </w:pPr>
      <w:r w:rsidRPr="00203ACE">
        <w:rPr>
          <w:sz w:val="28"/>
          <w:szCs w:val="28"/>
        </w:rPr>
        <w:t>Livestock and pulse categories have very limited data coverage.</w:t>
      </w:r>
    </w:p>
    <w:p w14:paraId="7DF5E380" w14:textId="77777777" w:rsidR="00203ACE" w:rsidRPr="00203ACE" w:rsidRDefault="00203ACE" w:rsidP="00203ACE">
      <w:pPr>
        <w:numPr>
          <w:ilvl w:val="0"/>
          <w:numId w:val="7"/>
        </w:numPr>
        <w:rPr>
          <w:sz w:val="28"/>
          <w:szCs w:val="28"/>
        </w:rPr>
      </w:pPr>
      <w:r w:rsidRPr="00203ACE">
        <w:rPr>
          <w:sz w:val="28"/>
          <w:szCs w:val="28"/>
        </w:rPr>
        <w:t>The time span is short, which restricts long-term trend and seasonality analysis.</w:t>
      </w:r>
    </w:p>
    <w:p w14:paraId="5D25AFBE" w14:textId="77777777" w:rsidR="00203ACE" w:rsidRPr="00203ACE" w:rsidRDefault="00203ACE" w:rsidP="00203ACE">
      <w:pPr>
        <w:numPr>
          <w:ilvl w:val="0"/>
          <w:numId w:val="7"/>
        </w:numPr>
        <w:rPr>
          <w:sz w:val="28"/>
          <w:szCs w:val="28"/>
        </w:rPr>
      </w:pPr>
      <w:r w:rsidRPr="00203ACE">
        <w:rPr>
          <w:sz w:val="28"/>
          <w:szCs w:val="28"/>
        </w:rPr>
        <w:t>External influencing factors such as weather, transport cost and production volume are not included.</w:t>
      </w:r>
    </w:p>
    <w:p w14:paraId="09D3EAD0" w14:textId="77777777" w:rsidR="00203ACE" w:rsidRPr="00203ACE" w:rsidRDefault="00203ACE" w:rsidP="00203ACE">
      <w:pPr>
        <w:numPr>
          <w:ilvl w:val="0"/>
          <w:numId w:val="7"/>
        </w:numPr>
        <w:rPr>
          <w:sz w:val="28"/>
          <w:szCs w:val="28"/>
        </w:rPr>
      </w:pPr>
      <w:r w:rsidRPr="00203ACE">
        <w:rPr>
          <w:sz w:val="28"/>
          <w:szCs w:val="28"/>
        </w:rPr>
        <w:t>Grade definitions are categorical and lack standard quality measurements.</w:t>
      </w:r>
    </w:p>
    <w:p w14:paraId="21E3D86C" w14:textId="77777777" w:rsidR="00203ACE" w:rsidRPr="00203ACE" w:rsidRDefault="00000000" w:rsidP="00203ACE">
      <w:pPr>
        <w:rPr>
          <w:sz w:val="28"/>
          <w:szCs w:val="28"/>
        </w:rPr>
      </w:pPr>
      <w:r>
        <w:rPr>
          <w:sz w:val="28"/>
          <w:szCs w:val="28"/>
        </w:rPr>
        <w:pict w14:anchorId="57D1BE63">
          <v:rect id="_x0000_i1043" style="width:0;height:1.5pt" o:hralign="center" o:hrstd="t" o:hr="t" fillcolor="#a0a0a0" stroked="f"/>
        </w:pict>
      </w:r>
    </w:p>
    <w:p w14:paraId="3CF27D2D" w14:textId="78BA5940" w:rsidR="00203ACE" w:rsidRPr="0091242A" w:rsidRDefault="00203ACE" w:rsidP="00203ACE">
      <w:pPr>
        <w:pStyle w:val="ListParagraph"/>
        <w:numPr>
          <w:ilvl w:val="0"/>
          <w:numId w:val="4"/>
        </w:numPr>
        <w:rPr>
          <w:b/>
          <w:bCs/>
          <w:sz w:val="28"/>
          <w:szCs w:val="28"/>
        </w:rPr>
      </w:pPr>
      <w:r w:rsidRPr="0091242A">
        <w:rPr>
          <w:b/>
          <w:bCs/>
          <w:sz w:val="28"/>
          <w:szCs w:val="28"/>
        </w:rPr>
        <w:t>Future Recommendations Based on Findings</w:t>
      </w:r>
    </w:p>
    <w:p w14:paraId="44C1218C" w14:textId="77777777" w:rsidR="00203ACE" w:rsidRPr="0091242A" w:rsidRDefault="00203ACE" w:rsidP="00203ACE">
      <w:pPr>
        <w:pStyle w:val="ListParagraph"/>
        <w:rPr>
          <w:b/>
          <w:bCs/>
          <w:sz w:val="28"/>
          <w:szCs w:val="28"/>
        </w:rPr>
      </w:pPr>
    </w:p>
    <w:p w14:paraId="7FB077D2" w14:textId="77777777" w:rsidR="00203ACE" w:rsidRPr="00203ACE" w:rsidRDefault="00203ACE" w:rsidP="00203ACE">
      <w:pPr>
        <w:pStyle w:val="ListParagraph"/>
        <w:rPr>
          <w:b/>
          <w:bCs/>
          <w:sz w:val="28"/>
          <w:szCs w:val="28"/>
        </w:rPr>
      </w:pPr>
    </w:p>
    <w:p w14:paraId="2FF1A362" w14:textId="77777777" w:rsidR="00203ACE" w:rsidRPr="00203ACE" w:rsidRDefault="00203ACE" w:rsidP="00203ACE">
      <w:pPr>
        <w:pStyle w:val="ListParagraph"/>
        <w:rPr>
          <w:sz w:val="28"/>
          <w:szCs w:val="28"/>
        </w:rPr>
      </w:pPr>
      <w:r w:rsidRPr="00203ACE">
        <w:rPr>
          <w:sz w:val="28"/>
          <w:szCs w:val="28"/>
        </w:rPr>
        <w:t>1. Include arrival quantity and volume for demand–supply analysis.</w:t>
      </w:r>
    </w:p>
    <w:p w14:paraId="6415B640" w14:textId="77777777" w:rsidR="00203ACE" w:rsidRPr="00203ACE" w:rsidRDefault="00203ACE" w:rsidP="00203ACE">
      <w:pPr>
        <w:pStyle w:val="ListParagraph"/>
        <w:rPr>
          <w:sz w:val="28"/>
          <w:szCs w:val="28"/>
        </w:rPr>
      </w:pPr>
    </w:p>
    <w:p w14:paraId="2FFD9250" w14:textId="77777777" w:rsidR="00203ACE" w:rsidRPr="00203ACE" w:rsidRDefault="00203ACE" w:rsidP="00203ACE">
      <w:pPr>
        <w:pStyle w:val="ListParagraph"/>
        <w:rPr>
          <w:sz w:val="28"/>
          <w:szCs w:val="28"/>
        </w:rPr>
      </w:pPr>
      <w:r w:rsidRPr="00203ACE">
        <w:rPr>
          <w:sz w:val="28"/>
          <w:szCs w:val="28"/>
        </w:rPr>
        <w:t>2. Add multi-year data to enable seasonal and trend modelling.</w:t>
      </w:r>
    </w:p>
    <w:p w14:paraId="2DE2D178" w14:textId="77777777" w:rsidR="00203ACE" w:rsidRPr="00203ACE" w:rsidRDefault="00203ACE" w:rsidP="00203ACE">
      <w:pPr>
        <w:pStyle w:val="ListParagraph"/>
        <w:rPr>
          <w:sz w:val="28"/>
          <w:szCs w:val="28"/>
        </w:rPr>
      </w:pPr>
    </w:p>
    <w:p w14:paraId="718AAA3A" w14:textId="77777777" w:rsidR="00203ACE" w:rsidRPr="00203ACE" w:rsidRDefault="00203ACE" w:rsidP="00203ACE">
      <w:pPr>
        <w:pStyle w:val="ListParagraph"/>
        <w:rPr>
          <w:sz w:val="28"/>
          <w:szCs w:val="28"/>
        </w:rPr>
      </w:pPr>
      <w:r w:rsidRPr="00203ACE">
        <w:rPr>
          <w:sz w:val="28"/>
          <w:szCs w:val="28"/>
        </w:rPr>
        <w:t>3. Standardise commodity grade categories.</w:t>
      </w:r>
    </w:p>
    <w:p w14:paraId="6FB177C4" w14:textId="77777777" w:rsidR="00203ACE" w:rsidRPr="00203ACE" w:rsidRDefault="00203ACE" w:rsidP="00203ACE">
      <w:pPr>
        <w:pStyle w:val="ListParagraph"/>
        <w:rPr>
          <w:sz w:val="28"/>
          <w:szCs w:val="28"/>
        </w:rPr>
      </w:pPr>
    </w:p>
    <w:p w14:paraId="064C8E6C" w14:textId="77777777" w:rsidR="00203ACE" w:rsidRPr="00203ACE" w:rsidRDefault="00203ACE" w:rsidP="00203ACE">
      <w:pPr>
        <w:pStyle w:val="ListParagraph"/>
        <w:rPr>
          <w:sz w:val="28"/>
          <w:szCs w:val="28"/>
        </w:rPr>
      </w:pPr>
      <w:r w:rsidRPr="00203ACE">
        <w:rPr>
          <w:sz w:val="28"/>
          <w:szCs w:val="28"/>
        </w:rPr>
        <w:t>4. Integrate market arrival and stock information.</w:t>
      </w:r>
    </w:p>
    <w:p w14:paraId="42006E38" w14:textId="77777777" w:rsidR="00203ACE" w:rsidRPr="00203ACE" w:rsidRDefault="00203ACE" w:rsidP="00203ACE">
      <w:pPr>
        <w:pStyle w:val="ListParagraph"/>
        <w:rPr>
          <w:sz w:val="28"/>
          <w:szCs w:val="28"/>
        </w:rPr>
      </w:pPr>
    </w:p>
    <w:p w14:paraId="259141E6" w14:textId="77777777" w:rsidR="00203ACE" w:rsidRPr="00203ACE" w:rsidRDefault="00203ACE" w:rsidP="00203ACE">
      <w:pPr>
        <w:pStyle w:val="ListParagraph"/>
        <w:rPr>
          <w:sz w:val="28"/>
          <w:szCs w:val="28"/>
        </w:rPr>
      </w:pPr>
      <w:r w:rsidRPr="00203ACE">
        <w:rPr>
          <w:sz w:val="28"/>
          <w:szCs w:val="28"/>
        </w:rPr>
        <w:t>5. Build forecasting models for major commodities and markets</w:t>
      </w:r>
    </w:p>
    <w:p w14:paraId="5FD127AB" w14:textId="77777777" w:rsidR="00203ACE" w:rsidRPr="0091242A" w:rsidRDefault="00203ACE" w:rsidP="00203ACE">
      <w:pPr>
        <w:pStyle w:val="ListParagraph"/>
        <w:rPr>
          <w:sz w:val="28"/>
          <w:szCs w:val="28"/>
        </w:rPr>
      </w:pPr>
    </w:p>
    <w:p w14:paraId="498E720E" w14:textId="77777777" w:rsidR="00203ACE" w:rsidRPr="0091242A" w:rsidRDefault="00203ACE" w:rsidP="00203ACE">
      <w:pPr>
        <w:pStyle w:val="ListParagraph"/>
        <w:rPr>
          <w:b/>
          <w:bCs/>
          <w:sz w:val="28"/>
          <w:szCs w:val="28"/>
        </w:rPr>
      </w:pPr>
    </w:p>
    <w:p w14:paraId="519BFF94" w14:textId="77777777" w:rsidR="00203ACE" w:rsidRPr="00203ACE" w:rsidRDefault="00000000" w:rsidP="00203ACE">
      <w:pPr>
        <w:rPr>
          <w:sz w:val="28"/>
          <w:szCs w:val="28"/>
        </w:rPr>
      </w:pPr>
      <w:r>
        <w:rPr>
          <w:sz w:val="28"/>
          <w:szCs w:val="28"/>
        </w:rPr>
        <w:pict w14:anchorId="009A4951">
          <v:rect id="_x0000_i1044" style="width:0;height:1.5pt" o:hralign="center" o:hrstd="t" o:hr="t" fillcolor="#a0a0a0" stroked="f"/>
        </w:pict>
      </w:r>
    </w:p>
    <w:p w14:paraId="68A8BE4F" w14:textId="77777777" w:rsidR="00203ACE" w:rsidRPr="00203ACE" w:rsidRDefault="00203ACE" w:rsidP="00203ACE">
      <w:pPr>
        <w:rPr>
          <w:b/>
          <w:bCs/>
          <w:sz w:val="28"/>
          <w:szCs w:val="28"/>
        </w:rPr>
      </w:pPr>
      <w:r w:rsidRPr="00203ACE">
        <w:rPr>
          <w:b/>
          <w:bCs/>
          <w:sz w:val="28"/>
          <w:szCs w:val="28"/>
        </w:rPr>
        <w:t>9. Final Remark</w:t>
      </w:r>
    </w:p>
    <w:p w14:paraId="2C99CBF8" w14:textId="77777777" w:rsidR="00203ACE" w:rsidRPr="00203ACE" w:rsidRDefault="00203ACE" w:rsidP="00203ACE">
      <w:pPr>
        <w:rPr>
          <w:sz w:val="28"/>
          <w:szCs w:val="28"/>
        </w:rPr>
      </w:pPr>
      <w:r w:rsidRPr="00203ACE">
        <w:rPr>
          <w:sz w:val="28"/>
          <w:szCs w:val="28"/>
        </w:rPr>
        <w:t>This project demonstrates how structured visual analytics and interactive dashboards can transform agricultural market data into actionable insights.</w:t>
      </w:r>
      <w:r w:rsidRPr="00203ACE">
        <w:rPr>
          <w:sz w:val="28"/>
          <w:szCs w:val="28"/>
        </w:rPr>
        <w:br/>
        <w:t>With the integration of quantity data, forecasting models and broader market coverage, the system can evolve into a practical decision-support tool for farmers, traders and policy planners.</w:t>
      </w:r>
    </w:p>
    <w:p w14:paraId="31D9CA27" w14:textId="77777777" w:rsidR="00C17885" w:rsidRPr="0091242A" w:rsidRDefault="00C17885">
      <w:pPr>
        <w:rPr>
          <w:sz w:val="28"/>
          <w:szCs w:val="28"/>
        </w:rPr>
      </w:pPr>
    </w:p>
    <w:sectPr w:rsidR="00C17885" w:rsidRPr="009124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4D8A"/>
    <w:multiLevelType w:val="multilevel"/>
    <w:tmpl w:val="DAA81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23A0F"/>
    <w:multiLevelType w:val="multilevel"/>
    <w:tmpl w:val="1DE689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0A3398"/>
    <w:multiLevelType w:val="multilevel"/>
    <w:tmpl w:val="1C822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AC3EBC"/>
    <w:multiLevelType w:val="multilevel"/>
    <w:tmpl w:val="F26EE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081850"/>
    <w:multiLevelType w:val="multilevel"/>
    <w:tmpl w:val="C0AAA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485821"/>
    <w:multiLevelType w:val="multilevel"/>
    <w:tmpl w:val="8576A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161C15"/>
    <w:multiLevelType w:val="multilevel"/>
    <w:tmpl w:val="0F4EA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FE7B89"/>
    <w:multiLevelType w:val="multilevel"/>
    <w:tmpl w:val="0F06B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7159174">
    <w:abstractNumId w:val="4"/>
  </w:num>
  <w:num w:numId="2" w16cid:durableId="877278211">
    <w:abstractNumId w:val="5"/>
  </w:num>
  <w:num w:numId="3" w16cid:durableId="770976450">
    <w:abstractNumId w:val="2"/>
  </w:num>
  <w:num w:numId="4" w16cid:durableId="551117187">
    <w:abstractNumId w:val="1"/>
  </w:num>
  <w:num w:numId="5" w16cid:durableId="1141116364">
    <w:abstractNumId w:val="3"/>
  </w:num>
  <w:num w:numId="6" w16cid:durableId="528185815">
    <w:abstractNumId w:val="0"/>
  </w:num>
  <w:num w:numId="7" w16cid:durableId="1305964223">
    <w:abstractNumId w:val="7"/>
  </w:num>
  <w:num w:numId="8" w16cid:durableId="10011298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ACE"/>
    <w:rsid w:val="00082851"/>
    <w:rsid w:val="00203ACE"/>
    <w:rsid w:val="005536D5"/>
    <w:rsid w:val="006F316D"/>
    <w:rsid w:val="0091242A"/>
    <w:rsid w:val="00A26243"/>
    <w:rsid w:val="00AB22E5"/>
    <w:rsid w:val="00BE4014"/>
    <w:rsid w:val="00C17885"/>
    <w:rsid w:val="00EC70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AFEFA"/>
  <w15:chartTrackingRefBased/>
  <w15:docId w15:val="{D0F2EEC6-0132-4E73-B766-45D4AE155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3A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3A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3A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3A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3A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3A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3A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3A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3A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A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3A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3A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3A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3A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3A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3A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3A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3ACE"/>
    <w:rPr>
      <w:rFonts w:eastAsiaTheme="majorEastAsia" w:cstheme="majorBidi"/>
      <w:color w:val="272727" w:themeColor="text1" w:themeTint="D8"/>
    </w:rPr>
  </w:style>
  <w:style w:type="paragraph" w:styleId="Title">
    <w:name w:val="Title"/>
    <w:basedOn w:val="Normal"/>
    <w:next w:val="Normal"/>
    <w:link w:val="TitleChar"/>
    <w:uiPriority w:val="10"/>
    <w:qFormat/>
    <w:rsid w:val="00203A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3A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3A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3A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3ACE"/>
    <w:pPr>
      <w:spacing w:before="160"/>
      <w:jc w:val="center"/>
    </w:pPr>
    <w:rPr>
      <w:i/>
      <w:iCs/>
      <w:color w:val="404040" w:themeColor="text1" w:themeTint="BF"/>
    </w:rPr>
  </w:style>
  <w:style w:type="character" w:customStyle="1" w:styleId="QuoteChar">
    <w:name w:val="Quote Char"/>
    <w:basedOn w:val="DefaultParagraphFont"/>
    <w:link w:val="Quote"/>
    <w:uiPriority w:val="29"/>
    <w:rsid w:val="00203ACE"/>
    <w:rPr>
      <w:i/>
      <w:iCs/>
      <w:color w:val="404040" w:themeColor="text1" w:themeTint="BF"/>
    </w:rPr>
  </w:style>
  <w:style w:type="paragraph" w:styleId="ListParagraph">
    <w:name w:val="List Paragraph"/>
    <w:basedOn w:val="Normal"/>
    <w:uiPriority w:val="34"/>
    <w:qFormat/>
    <w:rsid w:val="00203ACE"/>
    <w:pPr>
      <w:ind w:left="720"/>
      <w:contextualSpacing/>
    </w:pPr>
  </w:style>
  <w:style w:type="character" w:styleId="IntenseEmphasis">
    <w:name w:val="Intense Emphasis"/>
    <w:basedOn w:val="DefaultParagraphFont"/>
    <w:uiPriority w:val="21"/>
    <w:qFormat/>
    <w:rsid w:val="00203ACE"/>
    <w:rPr>
      <w:i/>
      <w:iCs/>
      <w:color w:val="2F5496" w:themeColor="accent1" w:themeShade="BF"/>
    </w:rPr>
  </w:style>
  <w:style w:type="paragraph" w:styleId="IntenseQuote">
    <w:name w:val="Intense Quote"/>
    <w:basedOn w:val="Normal"/>
    <w:next w:val="Normal"/>
    <w:link w:val="IntenseQuoteChar"/>
    <w:uiPriority w:val="30"/>
    <w:qFormat/>
    <w:rsid w:val="00203A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3ACE"/>
    <w:rPr>
      <w:i/>
      <w:iCs/>
      <w:color w:val="2F5496" w:themeColor="accent1" w:themeShade="BF"/>
    </w:rPr>
  </w:style>
  <w:style w:type="character" w:styleId="IntenseReference">
    <w:name w:val="Intense Reference"/>
    <w:basedOn w:val="DefaultParagraphFont"/>
    <w:uiPriority w:val="32"/>
    <w:qFormat/>
    <w:rsid w:val="00203AC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7</Pages>
  <Words>1130</Words>
  <Characters>6443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Vyshnav B</dc:creator>
  <cp:keywords/>
  <dc:description/>
  <cp:lastModifiedBy>Vyshnav B</cp:lastModifiedBy>
  <cp:revision>3</cp:revision>
  <dcterms:created xsi:type="dcterms:W3CDTF">2026-02-27T15:14:00Z</dcterms:created>
  <dcterms:modified xsi:type="dcterms:W3CDTF">2026-03-04T06:19:00Z</dcterms:modified>
</cp:coreProperties>
</file>