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2340" w:val="clear"/>
            <w:tcMar>
              <w:top w:type="dxa" w:w="280"/>
              <w:left w:type="dxa" w:w="360"/>
              <w:bottom w:type="dxa" w:w="280"/>
              <w:right w:type="dxa" w:w="360"/>
            </w:tcMar>
          </w:tcPr>
          <w:p>
            <w:pPr>
              <w:spacing w:after="60" w:before="0"/>
              <w:jc w:val="left"/>
            </w:pPr>
            <w:r>
              <w:rPr>
                <w:rFonts w:ascii="Arial" w:cs="Arial" w:eastAsia="Arial" w:hAnsi="Arial"/>
                <w:b/>
                <w:bCs/>
                <w:color w:val="8AAFDC"/>
                <w:sz w:val="18"/>
                <w:szCs w:val="18"/>
              </w:rPr>
              <w:t xml:space="preserve">EQUITY RESEARCH — DEEP DIVE</w:t>
            </w:r>
          </w:p>
          <w:p>
            <w:pPr>
              <w:spacing w:after="80" w:before="0"/>
              <w:jc w:val="left"/>
            </w:pPr>
            <w:r>
              <w:rPr>
                <w:rFonts w:ascii="Arial" w:cs="Arial" w:eastAsia="Arial" w:hAnsi="Arial"/>
                <w:b/>
                <w:bCs/>
                <w:color w:val="FFFFFF"/>
                <w:sz w:val="52"/>
                <w:szCs w:val="52"/>
              </w:rPr>
              <w:t xml:space="preserve">Dell Technologies Inc.</w:t>
            </w:r>
          </w:p>
          <w:p>
            <w:pPr>
              <w:spacing w:after="60" w:before="0"/>
              <w:jc w:val="left"/>
            </w:pPr>
            <w:r>
              <w:rPr>
                <w:rFonts w:ascii="Arial" w:cs="Arial" w:eastAsia="Arial" w:hAnsi="Arial"/>
                <w:color w:val="A0BDD8"/>
                <w:sz w:val="22"/>
                <w:szCs w:val="22"/>
              </w:rPr>
              <w:t xml:space="preserve">NYSE: DELL  |  Information Technology — IT Infrastructure &amp; AI Servers</w:t>
            </w:r>
          </w:p>
          <w:p>
            <w:pPr>
              <w:spacing w:after="0" w:before="40"/>
              <w:jc w:val="left"/>
            </w:pPr>
            <w:r>
              <w:rPr>
                <w:rFonts w:ascii="Arial" w:cs="Arial" w:eastAsia="Arial" w:hAnsi="Arial"/>
                <w:color w:val="8AAFDC"/>
                <w:sz w:val="18"/>
                <w:szCs w:val="18"/>
              </w:rPr>
              <w:t xml:space="preserve">Report Date: June 15, 2026  |  Coverage Period: March – June 2026</w:t>
            </w:r>
          </w:p>
        </w:tc>
      </w:tr>
    </w:tbl>
    <w:p>
      <w:pPr>
        <w:spacing w:after="80" w:before="0"/>
        <w:jc w:val="left"/>
      </w:pPr>
      <w:r>
        <w:rPr>
          <w:rFonts w:ascii="Arial" w:cs="Arial" w:eastAsia="Arial" w:hAnsi="Arial"/>
          <w:b w:val="false"/>
          <w:bCs w:val="false"/>
          <w:i w:val="false"/>
          <w:iCs w:val="false"/>
          <w:color w:val="00000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none" w:color="FFFFFF" w:sz="0"/>
              <w:left w:val="none" w:color="FFFFFF" w:sz="0"/>
              <w:bottom w:val="none" w:color="FFFFFF" w:sz="0"/>
              <w:right w:val="none" w:color="FFFFFF" w:sz="0"/>
            </w:tcBorders>
            <w:shd w:fill="1A7A4A"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BUY</w:t>
            </w:r>
          </w:p>
        </w:tc>
        <w:tc>
          <w:tcPr>
            <w:tcW w:type="dxa" w:w="2520"/>
            <w:tcBorders>
              <w:top w:val="none" w:color="FFFFFF" w:sz="0"/>
              <w:left w:val="none" w:color="FFFFFF" w:sz="0"/>
              <w:bottom w:val="none" w:color="FFFFFF" w:sz="0"/>
              <w:right w:val="none" w:color="FFFFFF" w:sz="0"/>
            </w:tcBorders>
            <w:shd w:fill="0D234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NYSE: DELL</w:t>
            </w:r>
          </w:p>
        </w:tc>
        <w:tc>
          <w:tcPr>
            <w:tcW w:type="dxa" w:w="2520"/>
            <w:tcBorders>
              <w:top w:val="none" w:color="FFFFFF" w:sz="0"/>
              <w:left w:val="none" w:color="FFFFFF" w:sz="0"/>
              <w:bottom w:val="none" w:color="FFFFFF" w:sz="0"/>
              <w:right w:val="none" w:color="FFFFFF" w:sz="0"/>
            </w:tcBorders>
            <w:shd w:fill="2A5F9E"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Price: ~$455</w:t>
            </w:r>
          </w:p>
        </w:tc>
        <w:tc>
          <w:tcPr>
            <w:tcW w:type="dxa" w:w="2520"/>
            <w:tcBorders>
              <w:top w:val="none" w:color="FFFFFF" w:sz="0"/>
              <w:left w:val="none" w:color="FFFFFF" w:sz="0"/>
              <w:bottom w:val="none" w:color="FFFFFF" w:sz="0"/>
              <w:right w:val="none" w:color="FFFFFF" w:sz="0"/>
            </w:tcBorders>
            <w:shd w:fill="D6891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Avg PT: $443</w:t>
            </w:r>
          </w:p>
        </w:tc>
      </w:tr>
      <w:tr>
        <w:tc>
          <w:tcPr>
            <w:tcW w:type="dxa" w:w="2520"/>
            <w:tcBorders>
              <w:top w:val="none" w:color="FFFFFF" w:sz="0"/>
              <w:left w:val="none" w:color="FFFFFF" w:sz="0"/>
              <w:bottom w:val="none" w:color="FFFFFF" w:sz="0"/>
              <w:right w:val="none" w:color="FFFFFF" w:sz="0"/>
            </w:tcBorders>
            <w:shd w:fill="145C38" w:val="clear"/>
            <w:tcMar>
              <w:top w:type="dxa" w:w="40"/>
              <w:left w:type="dxa" w:w="140"/>
              <w:bottom w:type="dxa" w:w="60"/>
              <w:right w:type="dxa" w:w="140"/>
            </w:tcMar>
          </w:tcPr>
          <w:p>
            <w:pPr>
              <w:spacing w:after="0" w:before="0"/>
              <w:jc w:val="center"/>
            </w:pPr>
            <w:r>
              <w:rPr>
                <w:rFonts w:ascii="Arial" w:cs="Arial" w:eastAsia="Arial" w:hAnsi="Arial"/>
                <w:b w:val="false"/>
                <w:bCs w:val="false"/>
                <w:i w:val="false"/>
                <w:iCs w:val="false"/>
                <w:color w:val="90D4B0"/>
                <w:sz w:val="16"/>
                <w:szCs w:val="16"/>
              </w:rPr>
              <w:t xml:space="preserve">Consensus Rating</w:t>
            </w:r>
          </w:p>
        </w:tc>
        <w:tc>
          <w:tcPr>
            <w:tcW w:type="dxa" w:w="2520"/>
            <w:tcBorders>
              <w:top w:val="none" w:color="FFFFFF" w:sz="0"/>
              <w:left w:val="none" w:color="FFFFFF" w:sz="0"/>
              <w:bottom w:val="none" w:color="FFFFFF" w:sz="0"/>
              <w:right w:val="none" w:color="FFFFFF" w:sz="0"/>
            </w:tcBorders>
            <w:shd w:fill="1A3A6E" w:val="clear"/>
            <w:tcMar>
              <w:top w:type="dxa" w:w="40"/>
              <w:left w:type="dxa" w:w="140"/>
              <w:bottom w:type="dxa" w:w="60"/>
              <w:right w:type="dxa" w:w="140"/>
            </w:tcMar>
          </w:tcPr>
          <w:p>
            <w:pPr>
              <w:spacing w:after="0" w:before="0"/>
              <w:jc w:val="center"/>
            </w:pPr>
            <w:r>
              <w:rPr>
                <w:rFonts w:ascii="Arial" w:cs="Arial" w:eastAsia="Arial" w:hAnsi="Arial"/>
                <w:b w:val="false"/>
                <w:bCs w:val="false"/>
                <w:i w:val="false"/>
                <w:iCs w:val="false"/>
                <w:color w:val="8AAFDC"/>
                <w:sz w:val="16"/>
                <w:szCs w:val="16"/>
              </w:rPr>
              <w:t xml:space="preserve">Ticker / Exchange</w:t>
            </w:r>
          </w:p>
        </w:tc>
        <w:tc>
          <w:tcPr>
            <w:tcW w:type="dxa" w:w="2520"/>
            <w:tcBorders>
              <w:top w:val="none" w:color="FFFFFF" w:sz="0"/>
              <w:left w:val="none" w:color="FFFFFF" w:sz="0"/>
              <w:bottom w:val="none" w:color="FFFFFF" w:sz="0"/>
              <w:right w:val="none" w:color="FFFFFF" w:sz="0"/>
            </w:tcBorders>
            <w:shd w:fill="204880" w:val="clear"/>
            <w:tcMar>
              <w:top w:type="dxa" w:w="40"/>
              <w:left w:type="dxa" w:w="140"/>
              <w:bottom w:type="dxa" w:w="60"/>
              <w:right w:type="dxa" w:w="140"/>
            </w:tcMar>
          </w:tcPr>
          <w:p>
            <w:pPr>
              <w:spacing w:after="0" w:before="0"/>
              <w:jc w:val="center"/>
            </w:pPr>
            <w:r>
              <w:rPr>
                <w:rFonts w:ascii="Arial" w:cs="Arial" w:eastAsia="Arial" w:hAnsi="Arial"/>
                <w:b w:val="false"/>
                <w:bCs w:val="false"/>
                <w:i w:val="false"/>
                <w:iCs w:val="false"/>
                <w:color w:val="8AAFDC"/>
                <w:sz w:val="16"/>
                <w:szCs w:val="16"/>
              </w:rPr>
              <w:t xml:space="preserve">Last Close (Jun 2026)</w:t>
            </w:r>
          </w:p>
        </w:tc>
        <w:tc>
          <w:tcPr>
            <w:tcW w:type="dxa" w:w="2520"/>
            <w:tcBorders>
              <w:top w:val="none" w:color="FFFFFF" w:sz="0"/>
              <w:left w:val="none" w:color="FFFFFF" w:sz="0"/>
              <w:bottom w:val="none" w:color="FFFFFF" w:sz="0"/>
              <w:right w:val="none" w:color="FFFFFF" w:sz="0"/>
            </w:tcBorders>
            <w:shd w:fill="8B640A" w:val="clear"/>
            <w:tcMar>
              <w:top w:type="dxa" w:w="40"/>
              <w:left w:type="dxa" w:w="140"/>
              <w:bottom w:type="dxa" w:w="60"/>
              <w:right w:type="dxa" w:w="140"/>
            </w:tcMar>
          </w:tcPr>
          <w:p>
            <w:pPr>
              <w:spacing w:after="0" w:before="0"/>
              <w:jc w:val="center"/>
            </w:pPr>
            <w:r>
              <w:rPr>
                <w:rFonts w:ascii="Arial" w:cs="Arial" w:eastAsia="Arial" w:hAnsi="Arial"/>
                <w:b w:val="false"/>
                <w:bCs w:val="false"/>
                <w:i w:val="false"/>
                <w:iCs w:val="false"/>
                <w:color w:val="F5DBA0"/>
                <w:sz w:val="16"/>
                <w:szCs w:val="16"/>
              </w:rPr>
              <w:t xml:space="preserve">Wall Street Avg. PT (16 analysts)</w:t>
            </w:r>
          </w:p>
        </w:tc>
      </w:tr>
    </w:tbl>
    <w:p>
      <w:pPr>
        <w:spacing w:after="80" w:before="0"/>
        <w:jc w:val="left"/>
      </w:pPr>
      <w:r>
        <w:rPr>
          <w:rFonts w:ascii="Arial" w:cs="Arial" w:eastAsia="Arial" w:hAnsi="Arial"/>
          <w:b w:val="false"/>
          <w:bCs w:val="false"/>
          <w:i w:val="false"/>
          <w:iCs w:val="false"/>
          <w:color w:val="000000"/>
          <w:sz w:val="20"/>
          <w:szCs w:val="20"/>
        </w:rPr>
        <w:t xml:space="preserve"/>
      </w:r>
    </w:p>
    <w:p>
      <w:pPr>
        <w:pStyle w:val="Heading2"/>
        <w:spacing w:after="80" w:before="200"/>
      </w:pPr>
      <w:r>
        <w:rPr>
          <w:rFonts w:ascii="Arial" w:cs="Arial" w:eastAsia="Arial" w:hAnsi="Arial"/>
          <w:b/>
          <w:bCs/>
          <w:color w:val="1A5EA8"/>
          <w:sz w:val="24"/>
          <w:szCs w:val="24"/>
        </w:rPr>
        <w:t xml:space="preserve">Q1 FY2027 Earnings Snapshot (Reported May 29,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0D2340"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$43.8B</w:t>
            </w:r>
          </w:p>
        </w:tc>
        <w:tc>
          <w:tcPr>
            <w:tcW w:type="dxa" w:w="1560"/>
            <w:tcBorders>
              <w:top w:val="none" w:color="FFFFFF" w:sz="0"/>
              <w:left w:val="none" w:color="FFFFFF" w:sz="0"/>
              <w:bottom w:val="none" w:color="FFFFFF" w:sz="0"/>
              <w:right w:val="none" w:color="FFFFFF" w:sz="0"/>
            </w:tcBorders>
            <w:shd w:fill="1A7A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+88%</w:t>
            </w:r>
          </w:p>
        </w:tc>
        <w:tc>
          <w:tcPr>
            <w:tcW w:type="dxa" w:w="1560"/>
            <w:tcBorders>
              <w:top w:val="none" w:color="FFFFFF" w:sz="0"/>
              <w:left w:val="none" w:color="FFFFFF" w:sz="0"/>
              <w:bottom w:val="none" w:color="FFFFFF" w:sz="0"/>
              <w:right w:val="none" w:color="FFFFFF" w:sz="0"/>
            </w:tcBorders>
            <w:shd w:fill="0D2340"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$29.0B</w:t>
            </w:r>
          </w:p>
        </w:tc>
        <w:tc>
          <w:tcPr>
            <w:tcW w:type="dxa" w:w="1560"/>
            <w:tcBorders>
              <w:top w:val="none" w:color="FFFFFF" w:sz="0"/>
              <w:left w:val="none" w:color="FFFFFF" w:sz="0"/>
              <w:bottom w:val="none" w:color="FFFFFF" w:sz="0"/>
              <w:right w:val="none" w:color="FFFFFF" w:sz="0"/>
            </w:tcBorders>
            <w:shd w:fill="1A5EA8"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$16.1B</w:t>
            </w:r>
          </w:p>
        </w:tc>
        <w:tc>
          <w:tcPr>
            <w:tcW w:type="dxa" w:w="1560"/>
            <w:tcBorders>
              <w:top w:val="none" w:color="FFFFFF" w:sz="0"/>
              <w:left w:val="none" w:color="FFFFFF" w:sz="0"/>
              <w:bottom w:val="none" w:color="FFFFFF" w:sz="0"/>
              <w:right w:val="none" w:color="FFFFFF" w:sz="0"/>
            </w:tcBorders>
            <w:shd w:fill="1A7A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$24.4B</w:t>
            </w:r>
          </w:p>
        </w:tc>
        <w:tc>
          <w:tcPr>
            <w:tcW w:type="dxa" w:w="1560"/>
            <w:tcBorders>
              <w:top w:val="none" w:color="FFFFFF" w:sz="0"/>
              <w:left w:val="none" w:color="FFFFFF" w:sz="0"/>
              <w:bottom w:val="none" w:color="FFFFFF" w:sz="0"/>
              <w:right w:val="none" w:color="FFFFFF" w:sz="0"/>
            </w:tcBorders>
            <w:shd w:fill="0D2340"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$51.3B</w:t>
            </w:r>
          </w:p>
        </w:tc>
      </w:tr>
      <w:tr>
        <w:tc>
          <w:tcPr>
            <w:tcW w:type="dxa" w:w="1560"/>
            <w:tcBorders>
              <w:top w:val="none" w:color="FFFFFF" w:sz="0"/>
              <w:left w:val="none" w:color="FFFFFF" w:sz="0"/>
              <w:bottom w:val="none" w:color="FFFFFF" w:sz="0"/>
              <w:right w:val="none" w:color="FFFFFF" w:sz="0"/>
            </w:tcBorders>
            <w:shd w:fill="1A3A6E"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Total Revenue</w:t>
            </w:r>
          </w:p>
        </w:tc>
        <w:tc>
          <w:tcPr>
            <w:tcW w:type="dxa" w:w="1560"/>
            <w:tcBorders>
              <w:top w:val="none" w:color="FFFFFF" w:sz="0"/>
              <w:left w:val="none" w:color="FFFFFF" w:sz="0"/>
              <w:bottom w:val="none" w:color="FFFFFF" w:sz="0"/>
              <w:right w:val="none" w:color="FFFFFF" w:sz="0"/>
            </w:tcBorders>
            <w:shd w:fill="145C38"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YoY Revenue Growth</w:t>
            </w:r>
          </w:p>
        </w:tc>
        <w:tc>
          <w:tcPr>
            <w:tcW w:type="dxa" w:w="1560"/>
            <w:tcBorders>
              <w:top w:val="none" w:color="FFFFFF" w:sz="0"/>
              <w:left w:val="none" w:color="FFFFFF" w:sz="0"/>
              <w:bottom w:val="none" w:color="FFFFFF" w:sz="0"/>
              <w:right w:val="none" w:color="FFFFFF" w:sz="0"/>
            </w:tcBorders>
            <w:shd w:fill="1A3A6E"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ISG Revenue</w:t>
            </w:r>
          </w:p>
        </w:tc>
        <w:tc>
          <w:tcPr>
            <w:tcW w:type="dxa" w:w="1560"/>
            <w:tcBorders>
              <w:top w:val="none" w:color="FFFFFF" w:sz="0"/>
              <w:left w:val="none" w:color="FFFFFF" w:sz="0"/>
              <w:bottom w:val="none" w:color="FFFFFF" w:sz="0"/>
              <w:right w:val="none" w:color="FFFFFF" w:sz="0"/>
            </w:tcBorders>
            <w:shd w:fill="8B640A"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AI Server Revenue</w:t>
            </w:r>
          </w:p>
        </w:tc>
        <w:tc>
          <w:tcPr>
            <w:tcW w:type="dxa" w:w="1560"/>
            <w:tcBorders>
              <w:top w:val="none" w:color="FFFFFF" w:sz="0"/>
              <w:left w:val="none" w:color="FFFFFF" w:sz="0"/>
              <w:bottom w:val="none" w:color="FFFFFF" w:sz="0"/>
              <w:right w:val="none" w:color="FFFFFF" w:sz="0"/>
            </w:tcBorders>
            <w:shd w:fill="145C38"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AI Server Orders Q1</w:t>
            </w:r>
          </w:p>
        </w:tc>
        <w:tc>
          <w:tcPr>
            <w:tcW w:type="dxa" w:w="1560"/>
            <w:tcBorders>
              <w:top w:val="none" w:color="FFFFFF" w:sz="0"/>
              <w:left w:val="none" w:color="FFFFFF" w:sz="0"/>
              <w:bottom w:val="none" w:color="FFFFFF" w:sz="0"/>
              <w:right w:val="none" w:color="FFFFFF" w:sz="0"/>
            </w:tcBorders>
            <w:shd w:fill="1A3A6E"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AI Backlog (Record)</w:t>
            </w:r>
          </w:p>
        </w:tc>
      </w:tr>
    </w:tbl>
    <w:p>
      <w:pPr>
        <w:spacing w:after="40" w:before="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none" w:color="FFFFFF" w:sz="0"/>
              <w:left w:val="none" w:color="FFFFFF" w:sz="0"/>
              <w:bottom w:val="none" w:color="FFFFFF" w:sz="0"/>
              <w:right w:val="none" w:color="FFFFFF" w:sz="0"/>
            </w:tcBorders>
            <w:shd w:fill="1A7A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$3.1B</w:t>
            </w:r>
          </w:p>
        </w:tc>
        <w:tc>
          <w:tcPr>
            <w:tcW w:type="dxa" w:w="1560"/>
            <w:tcBorders>
              <w:top w:val="none" w:color="FFFFFF" w:sz="0"/>
              <w:left w:val="none" w:color="FFFFFF" w:sz="0"/>
              <w:bottom w:val="none" w:color="FFFFFF" w:sz="0"/>
              <w:right w:val="none" w:color="FFFFFF" w:sz="0"/>
            </w:tcBorders>
            <w:shd w:fill="1A7A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+206%</w:t>
            </w:r>
          </w:p>
        </w:tc>
        <w:tc>
          <w:tcPr>
            <w:tcW w:type="dxa" w:w="1560"/>
            <w:tcBorders>
              <w:top w:val="none" w:color="FFFFFF" w:sz="0"/>
              <w:left w:val="none" w:color="FFFFFF" w:sz="0"/>
              <w:bottom w:val="none" w:color="FFFFFF" w:sz="0"/>
              <w:right w:val="none" w:color="FFFFFF" w:sz="0"/>
            </w:tcBorders>
            <w:shd w:fill="0D2340"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$14.6B</w:t>
            </w:r>
          </w:p>
        </w:tc>
        <w:tc>
          <w:tcPr>
            <w:tcW w:type="dxa" w:w="1560"/>
            <w:tcBorders>
              <w:top w:val="none" w:color="FFFFFF" w:sz="0"/>
              <w:left w:val="none" w:color="FFFFFF" w:sz="0"/>
              <w:bottom w:val="none" w:color="FFFFFF" w:sz="0"/>
              <w:right w:val="none" w:color="FFFFFF" w:sz="0"/>
            </w:tcBorders>
            <w:shd w:fill="1A5EA8"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$1.55</w:t>
            </w:r>
          </w:p>
        </w:tc>
        <w:tc>
          <w:tcPr>
            <w:tcW w:type="dxa" w:w="1560"/>
            <w:tcBorders>
              <w:top w:val="none" w:color="FFFFFF" w:sz="0"/>
              <w:left w:val="none" w:color="FFFFFF" w:sz="0"/>
              <w:bottom w:val="none" w:color="FFFFFF" w:sz="0"/>
              <w:right w:val="none" w:color="FFFFFF" w:sz="0"/>
            </w:tcBorders>
            <w:shd w:fill="0D2340"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$12.90</w:t>
            </w:r>
          </w:p>
        </w:tc>
        <w:tc>
          <w:tcPr>
            <w:tcW w:type="dxa" w:w="1560"/>
            <w:tcBorders>
              <w:top w:val="none" w:color="FFFFFF" w:sz="0"/>
              <w:left w:val="none" w:color="FFFFFF" w:sz="0"/>
              <w:bottom w:val="none" w:color="FFFFFF" w:sz="0"/>
              <w:right w:val="none" w:color="FFFFFF" w:sz="0"/>
            </w:tcBorders>
            <w:shd w:fill="5A6478"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$109–$469</w:t>
            </w:r>
          </w:p>
        </w:tc>
      </w:tr>
      <w:tr>
        <w:tc>
          <w:tcPr>
            <w:tcW w:type="dxa" w:w="1560"/>
            <w:tcBorders>
              <w:top w:val="none" w:color="FFFFFF" w:sz="0"/>
              <w:left w:val="none" w:color="FFFFFF" w:sz="0"/>
              <w:bottom w:val="none" w:color="FFFFFF" w:sz="0"/>
              <w:right w:val="none" w:color="FFFFFF" w:sz="0"/>
            </w:tcBorders>
            <w:shd w:fill="145C38"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ISG Operating Income</w:t>
            </w:r>
          </w:p>
        </w:tc>
        <w:tc>
          <w:tcPr>
            <w:tcW w:type="dxa" w:w="1560"/>
            <w:tcBorders>
              <w:top w:val="none" w:color="FFFFFF" w:sz="0"/>
              <w:left w:val="none" w:color="FFFFFF" w:sz="0"/>
              <w:bottom w:val="none" w:color="FFFFFF" w:sz="0"/>
              <w:right w:val="none" w:color="FFFFFF" w:sz="0"/>
            </w:tcBorders>
            <w:shd w:fill="145C38"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ISG OI Growth YoY</w:t>
            </w:r>
          </w:p>
        </w:tc>
        <w:tc>
          <w:tcPr>
            <w:tcW w:type="dxa" w:w="1560"/>
            <w:tcBorders>
              <w:top w:val="none" w:color="FFFFFF" w:sz="0"/>
              <w:left w:val="none" w:color="FFFFFF" w:sz="0"/>
              <w:bottom w:val="none" w:color="FFFFFF" w:sz="0"/>
              <w:right w:val="none" w:color="FFFFFF" w:sz="0"/>
            </w:tcBorders>
            <w:shd w:fill="1A3A6E"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CSG Revenue</w:t>
            </w:r>
          </w:p>
        </w:tc>
        <w:tc>
          <w:tcPr>
            <w:tcW w:type="dxa" w:w="1560"/>
            <w:tcBorders>
              <w:top w:val="none" w:color="FFFFFF" w:sz="0"/>
              <w:left w:val="none" w:color="FFFFFF" w:sz="0"/>
              <w:bottom w:val="none" w:color="FFFFFF" w:sz="0"/>
              <w:right w:val="none" w:color="FFFFFF" w:sz="0"/>
            </w:tcBorders>
            <w:shd w:fill="8B640A"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Non-GAAP EPS</w:t>
            </w:r>
          </w:p>
        </w:tc>
        <w:tc>
          <w:tcPr>
            <w:tcW w:type="dxa" w:w="1560"/>
            <w:tcBorders>
              <w:top w:val="none" w:color="FFFFFF" w:sz="0"/>
              <w:left w:val="none" w:color="FFFFFF" w:sz="0"/>
              <w:bottom w:val="none" w:color="FFFFFF" w:sz="0"/>
              <w:right w:val="none" w:color="FFFFFF" w:sz="0"/>
            </w:tcBorders>
            <w:shd w:fill="1A3A6E"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FY27 Non-GAAP EPS Guid.</w:t>
            </w:r>
          </w:p>
        </w:tc>
        <w:tc>
          <w:tcPr>
            <w:tcW w:type="dxa" w:w="1560"/>
            <w:tcBorders>
              <w:top w:val="none" w:color="FFFFFF" w:sz="0"/>
              <w:left w:val="none" w:color="FFFFFF" w:sz="0"/>
              <w:bottom w:val="none" w:color="FFFFFF" w:sz="0"/>
              <w:right w:val="none" w:color="FFFFFF" w:sz="0"/>
            </w:tcBorders>
            <w:shd w:fill="8B640A" w:val="clear"/>
            <w:tcMar>
              <w:top w:type="dxa" w:w="60"/>
              <w:left w:type="dxa" w:w="140"/>
              <w:bottom w:type="dxa" w:w="60"/>
              <w:right w:type="dxa" w:w="140"/>
            </w:tcMar>
          </w:tcPr>
          <w:p>
            <w:pPr>
              <w:jc w:val="center"/>
            </w:pPr>
            <w:r>
              <w:rPr>
                <w:rFonts w:ascii="Arial" w:cs="Arial" w:eastAsia="Arial" w:hAnsi="Arial"/>
                <w:b w:val="false"/>
                <w:bCs w:val="false"/>
                <w:color w:val="D0D8E8"/>
                <w:sz w:val="17"/>
                <w:szCs w:val="17"/>
              </w:rPr>
              <w:t xml:space="preserve">52-Week Range</w:t>
            </w:r>
          </w:p>
        </w:tc>
      </w:tr>
    </w:tbl>
    <w:p>
      <w:pPr>
        <w:spacing w:after="80" w:before="0"/>
        <w:jc w:val="left"/>
      </w:pPr>
      <w:r>
        <w:rPr>
          <w:rFonts w:ascii="Arial" w:cs="Arial" w:eastAsia="Arial" w:hAnsi="Arial"/>
          <w:b w:val="false"/>
          <w:bCs w:val="false"/>
          <w:i w:val="false"/>
          <w:iCs w:val="false"/>
          <w:color w:val="000000"/>
          <w:sz w:val="20"/>
          <w:szCs w:val="20"/>
        </w:rPr>
        <w:t xml:space="preserve"/>
      </w:r>
    </w:p>
    <w:p>
      <w:r>
        <w:br w:type="page"/>
      </w:r>
    </w:p>
    <w:p>
      <w:pPr>
        <w:pStyle w:val="Heading1"/>
        <w:spacing w:after="100" w:before="280"/>
      </w:pPr>
      <w:r>
        <w:rPr>
          <w:rFonts w:ascii="Arial" w:cs="Arial" w:eastAsia="Arial" w:hAnsi="Arial"/>
          <w:b/>
          <w:bCs/>
          <w:color w:val="0D2340"/>
          <w:sz w:val="30"/>
          <w:szCs w:val="30"/>
        </w:rPr>
        <w:t xml:space="preserve">1. Executive Summary &amp; Investment Thesis</w:t>
      </w:r>
    </w:p>
    <w:p>
      <w:pPr>
        <w:pBdr>
          <w:bottom w:val="single" w:color="1A5EA8" w:sz="12" w:space="1"/>
        </w:pBdr>
        <w:spacing w:after="80" w:before="120"/>
      </w:pPr>
    </w:p>
    <w:p>
      <w:pPr>
        <w:spacing w:after="80" w:before="0"/>
        <w:jc w:val="left"/>
      </w:pPr>
      <w:r>
        <w:rPr>
          <w:rFonts w:ascii="Arial" w:cs="Arial" w:eastAsia="Arial" w:hAnsi="Arial"/>
          <w:b w:val="false"/>
          <w:bCs w:val="false"/>
          <w:i w:val="false"/>
          <w:iCs w:val="false"/>
          <w:color w:val="000000"/>
          <w:sz w:val="20"/>
          <w:szCs w:val="20"/>
        </w:rPr>
        <w:t xml:space="preserve">Dell Technologies has undergone a fundamental re-rating in 2026, transforming from a value PC/server story into one of the most direct-exposure plays on the enterprise AI infrastructure buildout. The stock has delivered approximately +158% year-to-date as of June 2026 — among the strongest performers in the S&amp;P 500 — driven by an extraordinary acceleration in AI-optimised server demand that has consistently surprised even the most bullish sell-side models.</w:t>
      </w:r>
    </w:p>
    <w:p>
      <w:pPr>
        <w:spacing w:after="80" w:before="0"/>
        <w:jc w:val="left"/>
      </w:pPr>
      <w:r>
        <w:rPr>
          <w:rFonts w:ascii="Arial" w:cs="Arial" w:eastAsia="Arial" w:hAnsi="Arial"/>
          <w:b w:val="false"/>
          <w:bCs w:val="false"/>
          <w:i w:val="false"/>
          <w:iCs w:val="false"/>
          <w:color w:val="000000"/>
          <w:sz w:val="20"/>
          <w:szCs w:val="20"/>
        </w:rPr>
        <w:t xml:space="preserve">The company's Q1 FY2027 results (May 29, 2026) validated this thesis emphatically: revenue surged 88% YoY to $43.8 billion, crushing consensus by approximately $9 billion — the largest absolute beat in Dell's public company history. AI server revenue alone reached $16.1 billion, growing 757% year-over-year. With a record $51.3 billion AI backlog and $24.4 billion in new Q1 AI orders, forward revenue visibility is exceptional.</w:t>
      </w:r>
    </w:p>
    <w:p>
      <w:pPr>
        <w:spacing w:after="40" w:before="0"/>
        <w:jc w:val="left"/>
      </w:pPr>
      <w:r>
        <w:rPr>
          <w:rFonts w:ascii="Arial" w:cs="Arial" w:eastAsia="Arial" w:hAnsi="Arial"/>
          <w:b w:val="false"/>
          <w:bCs w:val="false"/>
          <w:i w:val="false"/>
          <w:iCs w:val="false"/>
          <w:color w:val="000000"/>
          <w:sz w:val="20"/>
          <w:szCs w:val="20"/>
        </w:rPr>
        <w:t xml:space="preserve">The core investment thesis rests on three pillars:</w:t>
      </w:r>
    </w:p>
    <w:p>
      <w:pPr>
        <w:spacing w:after="60" w:before="0"/>
        <w:ind w:left="360"/>
        <w:jc w:val="left"/>
      </w:pPr>
      <w:r>
        <w:rPr>
          <w:rFonts w:ascii="Arial" w:cs="Arial" w:eastAsia="Arial" w:hAnsi="Arial"/>
          <w:b/>
          <w:bCs/>
          <w:sz w:val="20"/>
          <w:szCs w:val="20"/>
        </w:rPr>
        <w:t xml:space="preserve">1.  AI Infrastructure Monopoly Position: </w:t>
      </w:r>
      <w:r>
        <w:rPr>
          <w:rFonts w:ascii="Arial" w:cs="Arial" w:eastAsia="Arial" w:hAnsi="Arial"/>
          <w:sz w:val="20"/>
          <w:szCs w:val="20"/>
        </w:rPr>
        <w:t xml:space="preserve">Dell's direct enterprise sales model, supply chain depth, and NVIDIA partnership position it as the default AI server vendor for Fortune 500 customers building on-premises AI capacity — a market HPE's $5B backlog cannot contest.</w:t>
      </w:r>
    </w:p>
    <w:p>
      <w:pPr>
        <w:spacing w:after="60" w:before="0"/>
        <w:ind w:left="360"/>
        <w:jc w:val="left"/>
      </w:pPr>
      <w:r>
        <w:rPr>
          <w:rFonts w:ascii="Arial" w:cs="Arial" w:eastAsia="Arial" w:hAnsi="Arial"/>
          <w:b/>
          <w:bCs/>
          <w:sz w:val="20"/>
          <w:szCs w:val="20"/>
        </w:rPr>
        <w:t xml:space="preserve">2.  Agentic AI Cycle Inflection: </w:t>
      </w:r>
      <w:r>
        <w:rPr>
          <w:rFonts w:ascii="Arial" w:cs="Arial" w:eastAsia="Arial" w:hAnsi="Arial"/>
          <w:sz w:val="20"/>
          <w:szCs w:val="20"/>
        </w:rPr>
        <w:t xml:space="preserve">Dell Technologies World 2026 (May) launched Deskside Agentic AI workstations, AI Factory with Palantir/ServiceNow/OpenAI integrations, and over 5,000 AI Factory customers. This ecosystem lock-in drives multi-year recurring demand across hardware, software, and services.</w:t>
      </w:r>
    </w:p>
    <w:p>
      <w:pPr>
        <w:spacing w:after="80" w:before="0"/>
        <w:ind w:left="360"/>
        <w:jc w:val="left"/>
      </w:pPr>
      <w:r>
        <w:rPr>
          <w:rFonts w:ascii="Arial" w:cs="Arial" w:eastAsia="Arial" w:hAnsi="Arial"/>
          <w:b/>
          <w:bCs/>
          <w:sz w:val="20"/>
          <w:szCs w:val="20"/>
        </w:rPr>
        <w:t xml:space="preserve">3.  Guidance Visibility: </w:t>
      </w:r>
      <w:r>
        <w:rPr>
          <w:rFonts w:ascii="Arial" w:cs="Arial" w:eastAsia="Arial" w:hAnsi="Arial"/>
          <w:sz w:val="20"/>
          <w:szCs w:val="20"/>
        </w:rPr>
        <w:t xml:space="preserve">Full-year FY27 non-GAAP EPS guidance of $12.90 midpoint (+25% YoY) gives the stock a forward P/E of approximately 35x — moderate relative to AI infrastructure peers and supported by backlog coverage.</w:t>
      </w:r>
    </w:p>
    <w:p>
      <w:pPr>
        <w:spacing w:after="80" w:before="0"/>
        <w:jc w:val="left"/>
      </w:pPr>
      <w:r>
        <w:rPr>
          <w:rFonts w:ascii="Arial" w:cs="Arial" w:eastAsia="Arial" w:hAnsi="Arial"/>
          <w:b w:val="false"/>
          <w:bCs w:val="false"/>
          <w:i w:val="false"/>
          <w:iCs w:val="false"/>
          <w:color w:val="000000"/>
          <w:sz w:val="20"/>
          <w:szCs w:val="20"/>
        </w:rPr>
        <w:t xml:space="preserve">The primary bear case (UBS downgrade, May 11) argues that the re-rating has done its work and that AI server demand is already priced into current levels. Morgan Stanley's upgrade (Underweight → Equal-weight, June 1) partially concedes this point but acknowledges the structural story has durability beyond the initial AI capex wave. Our view aligns with the bull camp: the backlog-to-revenue conversion through FY28 provides a multi-quarter earnings upgrade cycle that justifies current multiples.</w:t>
      </w:r>
    </w:p>
    <w:p>
      <w:r>
        <w:br w:type="page"/>
      </w:r>
    </w:p>
    <w:p>
      <w:pPr>
        <w:pStyle w:val="Heading1"/>
        <w:spacing w:after="100" w:before="280"/>
      </w:pPr>
      <w:r>
        <w:rPr>
          <w:rFonts w:ascii="Arial" w:cs="Arial" w:eastAsia="Arial" w:hAnsi="Arial"/>
          <w:b/>
          <w:bCs/>
          <w:color w:val="0D2340"/>
          <w:sz w:val="30"/>
          <w:szCs w:val="30"/>
        </w:rPr>
        <w:t xml:space="preserve">2. Analyst Recommendation Tracker (Mar – Jun 2026)</w:t>
      </w:r>
    </w:p>
    <w:p>
      <w:pPr>
        <w:pBdr>
          <w:bottom w:val="single" w:color="1A5EA8" w:sz="12" w:space="1"/>
        </w:pBdr>
        <w:spacing w:after="80" w:before="120"/>
      </w:pPr>
    </w:p>
    <w:p>
      <w:pPr>
        <w:spacing w:after="120" w:before="0"/>
        <w:jc w:val="left"/>
      </w:pPr>
      <w:r>
        <w:rPr>
          <w:rFonts w:ascii="Arial" w:cs="Arial" w:eastAsia="Arial" w:hAnsi="Arial"/>
          <w:b w:val="false"/>
          <w:bCs w:val="false"/>
          <w:i w:val="false"/>
          <w:iCs w:val="false"/>
          <w:color w:val="000000"/>
          <w:sz w:val="20"/>
          <w:szCs w:val="20"/>
        </w:rPr>
        <w:t xml:space="preserve">The following table captures all material analyst rating changes and price target revisions for DELL during the coverage window. Of 16 covering analysts, 14 maintain Buy/Outperform/Overweight ratings. The consensus average price target of $443 implies limited near-term upside from current levels (~$455), though individual bull targets reach $550 (Barclays).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1500"/>
        <w:gridCol w:w="1500"/>
        <w:gridCol w:w="900"/>
        <w:gridCol w:w="900"/>
        <w:gridCol w:w="900"/>
      </w:tblGrid>
      <w:tr>
        <w:tc>
          <w:tcPr>
            <w:tcW w:type="dxa" w:w="9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Date</w:t>
            </w:r>
          </w:p>
        </w:tc>
        <w:tc>
          <w:tcPr>
            <w:tcW w:type="dxa" w:w="16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Firm</w:t>
            </w:r>
          </w:p>
        </w:tc>
        <w:tc>
          <w:tcPr>
            <w:tcW w:type="dxa" w:w="15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Prev Rating</w:t>
            </w:r>
          </w:p>
        </w:tc>
        <w:tc>
          <w:tcPr>
            <w:tcW w:type="dxa" w:w="15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Rating</w:t>
            </w:r>
          </w:p>
        </w:tc>
        <w:tc>
          <w:tcPr>
            <w:tcW w:type="dxa" w:w="9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Prev PT</w:t>
            </w:r>
          </w:p>
        </w:tc>
        <w:tc>
          <w:tcPr>
            <w:tcW w:type="dxa" w:w="9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New PT</w:t>
            </w:r>
          </w:p>
        </w:tc>
        <w:tc>
          <w:tcPr>
            <w:tcW w:type="dxa" w:w="9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Action</w:t>
            </w:r>
          </w:p>
        </w:tc>
      </w:tr>
      <w:tr>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Mar 2026</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KGI Securities</w:t>
            </w:r>
          </w:p>
        </w:tc>
        <w:tc>
          <w:tcPr>
            <w:tcW w:type="dxa" w:w="15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Neutral</w:t>
            </w:r>
          </w:p>
        </w:tc>
        <w:tc>
          <w:tcPr>
            <w:tcW w:type="dxa" w:w="1500"/>
            <w:tcBorders>
              <w:top w:val="single" w:color="D0D6DF" w:sz="1"/>
              <w:left w:val="single" w:color="D0D6DF" w:sz="1"/>
              <w:bottom w:val="single" w:color="D0D6DF" w:sz="1"/>
              <w:right w:val="single" w:color="D0D6DF" w:sz="1"/>
            </w:tcBorders>
            <w:shd w:fill="E8F5ED" w:val="clear"/>
            <w:tcMar>
              <w:top w:type="dxa" w:w="60"/>
              <w:left w:type="dxa" w:w="120"/>
              <w:bottom w:type="dxa" w:w="60"/>
              <w:right w:type="dxa" w:w="120"/>
            </w:tcMar>
            <w:vAlign w:val="center"/>
          </w:tcPr>
          <w:p>
            <w:pPr>
              <w:jc w:val="left"/>
            </w:pPr>
            <w:r>
              <w:rPr>
                <w:rFonts w:ascii="Arial" w:cs="Arial" w:eastAsia="Arial" w:hAnsi="Arial"/>
                <w:b/>
                <w:bCs/>
                <w:color w:val="1A5EA8"/>
                <w:sz w:val="18"/>
                <w:szCs w:val="18"/>
              </w:rPr>
              <w:t xml:space="preserve">Outperform</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w:t>
            </w:r>
          </w:p>
        </w:tc>
        <w:tc>
          <w:tcPr>
            <w:tcW w:type="dxa" w:w="900"/>
            <w:tcBorders>
              <w:top w:val="single" w:color="D0D6DF" w:sz="1"/>
              <w:left w:val="single" w:color="D0D6DF" w:sz="1"/>
              <w:bottom w:val="single" w:color="D0D6DF" w:sz="1"/>
              <w:right w:val="single" w:color="D0D6DF" w:sz="1"/>
            </w:tcBorders>
            <w:shd w:fill="E8F5ED" w:val="clear"/>
            <w:tcMar>
              <w:top w:type="dxa" w:w="60"/>
              <w:left w:type="dxa" w:w="80"/>
              <w:bottom w:type="dxa" w:w="60"/>
              <w:right w:type="dxa" w:w="80"/>
            </w:tcMar>
            <w:vAlign w:val="center"/>
          </w:tcPr>
          <w:p>
            <w:pPr>
              <w:jc w:val="center"/>
            </w:pPr>
            <w:r>
              <w:rPr>
                <w:rFonts w:ascii="Arial" w:cs="Arial" w:eastAsia="Arial" w:hAnsi="Arial"/>
                <w:b/>
                <w:bCs/>
                <w:color w:val="1A7A4A"/>
                <w:sz w:val="16"/>
                <w:szCs w:val="16"/>
              </w:rPr>
              <w:t xml:space="preserve">▲ UPGRADE</w:t>
            </w:r>
          </w:p>
        </w:tc>
      </w:tr>
      <w:tr>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Apr 2026</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Mizuho</w:t>
            </w:r>
          </w:p>
        </w:tc>
        <w:tc>
          <w:tcPr>
            <w:tcW w:type="dxa" w:w="15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Neutral</w:t>
            </w:r>
          </w:p>
        </w:tc>
        <w:tc>
          <w:tcPr>
            <w:tcW w:type="dxa" w:w="1500"/>
            <w:tcBorders>
              <w:top w:val="single" w:color="D0D6DF" w:sz="1"/>
              <w:left w:val="single" w:color="D0D6DF" w:sz="1"/>
              <w:bottom w:val="single" w:color="D0D6DF" w:sz="1"/>
              <w:right w:val="single" w:color="D0D6DF" w:sz="1"/>
            </w:tcBorders>
            <w:shd w:fill="E8F5ED" w:val="clear"/>
            <w:tcMar>
              <w:top w:type="dxa" w:w="60"/>
              <w:left w:type="dxa" w:w="120"/>
              <w:bottom w:type="dxa" w:w="60"/>
              <w:right w:type="dxa" w:w="120"/>
            </w:tcMar>
            <w:vAlign w:val="center"/>
          </w:tcPr>
          <w:p>
            <w:pPr>
              <w:jc w:val="left"/>
            </w:pPr>
            <w:r>
              <w:rPr>
                <w:rFonts w:ascii="Arial" w:cs="Arial" w:eastAsia="Arial" w:hAnsi="Arial"/>
                <w:b/>
                <w:bCs/>
                <w:color w:val="1A5EA8"/>
                <w:sz w:val="18"/>
                <w:szCs w:val="18"/>
              </w:rPr>
              <w:t xml:space="preserve">Outperform</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$260</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$300</w:t>
            </w:r>
          </w:p>
        </w:tc>
        <w:tc>
          <w:tcPr>
            <w:tcW w:type="dxa" w:w="900"/>
            <w:tcBorders>
              <w:top w:val="single" w:color="D0D6DF" w:sz="1"/>
              <w:left w:val="single" w:color="D0D6DF" w:sz="1"/>
              <w:bottom w:val="single" w:color="D0D6DF" w:sz="1"/>
              <w:right w:val="single" w:color="D0D6DF" w:sz="1"/>
            </w:tcBorders>
            <w:shd w:fill="E8F5ED" w:val="clear"/>
            <w:tcMar>
              <w:top w:type="dxa" w:w="60"/>
              <w:left w:type="dxa" w:w="80"/>
              <w:bottom w:type="dxa" w:w="60"/>
              <w:right w:type="dxa" w:w="80"/>
            </w:tcMar>
            <w:vAlign w:val="center"/>
          </w:tcPr>
          <w:p>
            <w:pPr>
              <w:jc w:val="center"/>
            </w:pPr>
            <w:r>
              <w:rPr>
                <w:rFonts w:ascii="Arial" w:cs="Arial" w:eastAsia="Arial" w:hAnsi="Arial"/>
                <w:b/>
                <w:bCs/>
                <w:color w:val="1A7A4A"/>
                <w:sz w:val="16"/>
                <w:szCs w:val="16"/>
              </w:rPr>
              <w:t xml:space="preserve">▲ UPGRADE</w:t>
            </w:r>
          </w:p>
        </w:tc>
      </w:tr>
      <w:tr>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Apr 2026</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Citi</w:t>
            </w:r>
          </w:p>
        </w:tc>
        <w:tc>
          <w:tcPr>
            <w:tcW w:type="dxa" w:w="15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Buy</w:t>
            </w:r>
          </w:p>
        </w:tc>
        <w:tc>
          <w:tcPr>
            <w:tcW w:type="dxa" w:w="1500"/>
            <w:tcBorders>
              <w:top w:val="single" w:color="D0D6DF" w:sz="1"/>
              <w:left w:val="single" w:color="D0D6DF" w:sz="1"/>
              <w:bottom w:val="single" w:color="D0D6DF" w:sz="1"/>
              <w:right w:val="single" w:color="D0D6DF" w:sz="1"/>
            </w:tcBorders>
            <w:shd w:fill="FEF9E7" w:val="clear"/>
            <w:tcMar>
              <w:top w:type="dxa" w:w="60"/>
              <w:left w:type="dxa" w:w="120"/>
              <w:bottom w:type="dxa" w:w="60"/>
              <w:right w:type="dxa" w:w="120"/>
            </w:tcMar>
            <w:vAlign w:val="center"/>
          </w:tcPr>
          <w:p>
            <w:pPr>
              <w:jc w:val="left"/>
            </w:pPr>
            <w:r>
              <w:rPr>
                <w:rFonts w:ascii="Arial" w:cs="Arial" w:eastAsia="Arial" w:hAnsi="Arial"/>
                <w:b/>
                <w:bCs/>
                <w:color w:val="1A5EA8"/>
                <w:sz w:val="18"/>
                <w:szCs w:val="18"/>
              </w:rPr>
              <w:t xml:space="preserve">Buy</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$180</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$235</w:t>
            </w:r>
          </w:p>
        </w:tc>
        <w:tc>
          <w:tcPr>
            <w:tcW w:type="dxa" w:w="900"/>
            <w:tcBorders>
              <w:top w:val="single" w:color="D0D6DF" w:sz="1"/>
              <w:left w:val="single" w:color="D0D6DF" w:sz="1"/>
              <w:bottom w:val="single" w:color="D0D6DF" w:sz="1"/>
              <w:right w:val="single" w:color="D0D6DF" w:sz="1"/>
            </w:tcBorders>
            <w:shd w:fill="FEF9E7" w:val="clear"/>
            <w:tcMar>
              <w:top w:type="dxa" w:w="60"/>
              <w:left w:type="dxa" w:w="80"/>
              <w:bottom w:type="dxa" w:w="60"/>
              <w:right w:type="dxa" w:w="80"/>
            </w:tcMar>
            <w:vAlign w:val="center"/>
          </w:tcPr>
          <w:p>
            <w:pPr>
              <w:jc w:val="center"/>
            </w:pPr>
            <w:r>
              <w:rPr>
                <w:rFonts w:ascii="Arial" w:cs="Arial" w:eastAsia="Arial" w:hAnsi="Arial"/>
                <w:b/>
                <w:bCs/>
                <w:color w:val="D68910"/>
                <w:sz w:val="16"/>
                <w:szCs w:val="16"/>
              </w:rPr>
              <w:t xml:space="preserve">● PT RAISE</w:t>
            </w:r>
          </w:p>
        </w:tc>
      </w:tr>
      <w:tr>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May 11</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UBS</w:t>
            </w:r>
          </w:p>
        </w:tc>
        <w:tc>
          <w:tcPr>
            <w:tcW w:type="dxa" w:w="15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Buy</w:t>
            </w:r>
          </w:p>
        </w:tc>
        <w:tc>
          <w:tcPr>
            <w:tcW w:type="dxa" w:w="1500"/>
            <w:tcBorders>
              <w:top w:val="single" w:color="D0D6DF" w:sz="1"/>
              <w:left w:val="single" w:color="D0D6DF" w:sz="1"/>
              <w:bottom w:val="single" w:color="D0D6DF" w:sz="1"/>
              <w:right w:val="single" w:color="D0D6DF" w:sz="1"/>
            </w:tcBorders>
            <w:shd w:fill="FDECEA" w:val="clear"/>
            <w:tcMar>
              <w:top w:type="dxa" w:w="60"/>
              <w:left w:type="dxa" w:w="120"/>
              <w:bottom w:type="dxa" w:w="60"/>
              <w:right w:type="dxa" w:w="120"/>
            </w:tcMar>
            <w:vAlign w:val="center"/>
          </w:tcPr>
          <w:p>
            <w:pPr>
              <w:jc w:val="left"/>
            </w:pPr>
            <w:r>
              <w:rPr>
                <w:rFonts w:ascii="Arial" w:cs="Arial" w:eastAsia="Arial" w:hAnsi="Arial"/>
                <w:b/>
                <w:bCs/>
                <w:color w:val="1A5EA8"/>
                <w:sz w:val="18"/>
                <w:szCs w:val="18"/>
              </w:rPr>
              <w:t xml:space="preserve">Neutral</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$167</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$243</w:t>
            </w:r>
          </w:p>
        </w:tc>
        <w:tc>
          <w:tcPr>
            <w:tcW w:type="dxa" w:w="900"/>
            <w:tcBorders>
              <w:top w:val="single" w:color="D0D6DF" w:sz="1"/>
              <w:left w:val="single" w:color="D0D6DF" w:sz="1"/>
              <w:bottom w:val="single" w:color="D0D6DF" w:sz="1"/>
              <w:right w:val="single" w:color="D0D6DF" w:sz="1"/>
            </w:tcBorders>
            <w:shd w:fill="FDECEA" w:val="clear"/>
            <w:tcMar>
              <w:top w:type="dxa" w:w="60"/>
              <w:left w:type="dxa" w:w="80"/>
              <w:bottom w:type="dxa" w:w="60"/>
              <w:right w:type="dxa" w:w="80"/>
            </w:tcMar>
            <w:vAlign w:val="center"/>
          </w:tcPr>
          <w:p>
            <w:pPr>
              <w:jc w:val="center"/>
            </w:pPr>
            <w:r>
              <w:rPr>
                <w:rFonts w:ascii="Arial" w:cs="Arial" w:eastAsia="Arial" w:hAnsi="Arial"/>
                <w:b/>
                <w:bCs/>
                <w:color w:val="C0392B"/>
                <w:sz w:val="16"/>
                <w:szCs w:val="16"/>
              </w:rPr>
              <w:t xml:space="preserve">▼ DOWNGRADE</w:t>
            </w:r>
          </w:p>
        </w:tc>
      </w:tr>
      <w:tr>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May 29</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Barclays</w:t>
            </w:r>
          </w:p>
        </w:tc>
        <w:tc>
          <w:tcPr>
            <w:tcW w:type="dxa" w:w="15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Overweight</w:t>
            </w:r>
          </w:p>
        </w:tc>
        <w:tc>
          <w:tcPr>
            <w:tcW w:type="dxa" w:w="1500"/>
            <w:tcBorders>
              <w:top w:val="single" w:color="D0D6DF" w:sz="1"/>
              <w:left w:val="single" w:color="D0D6DF" w:sz="1"/>
              <w:bottom w:val="single" w:color="D0D6DF" w:sz="1"/>
              <w:right w:val="single" w:color="D0D6DF" w:sz="1"/>
            </w:tcBorders>
            <w:shd w:fill="FEF9E7" w:val="clear"/>
            <w:tcMar>
              <w:top w:type="dxa" w:w="60"/>
              <w:left w:type="dxa" w:w="120"/>
              <w:bottom w:type="dxa" w:w="60"/>
              <w:right w:type="dxa" w:w="120"/>
            </w:tcMar>
            <w:vAlign w:val="center"/>
          </w:tcPr>
          <w:p>
            <w:pPr>
              <w:jc w:val="left"/>
            </w:pPr>
            <w:r>
              <w:rPr>
                <w:rFonts w:ascii="Arial" w:cs="Arial" w:eastAsia="Arial" w:hAnsi="Arial"/>
                <w:b/>
                <w:bCs/>
                <w:color w:val="1A5EA8"/>
                <w:sz w:val="18"/>
                <w:szCs w:val="18"/>
              </w:rPr>
              <w:t xml:space="preserve">Overweight</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$168</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$550</w:t>
            </w:r>
          </w:p>
        </w:tc>
        <w:tc>
          <w:tcPr>
            <w:tcW w:type="dxa" w:w="900"/>
            <w:tcBorders>
              <w:top w:val="single" w:color="D0D6DF" w:sz="1"/>
              <w:left w:val="single" w:color="D0D6DF" w:sz="1"/>
              <w:bottom w:val="single" w:color="D0D6DF" w:sz="1"/>
              <w:right w:val="single" w:color="D0D6DF" w:sz="1"/>
            </w:tcBorders>
            <w:shd w:fill="FEF9E7" w:val="clear"/>
            <w:tcMar>
              <w:top w:type="dxa" w:w="60"/>
              <w:left w:type="dxa" w:w="80"/>
              <w:bottom w:type="dxa" w:w="60"/>
              <w:right w:type="dxa" w:w="80"/>
            </w:tcMar>
            <w:vAlign w:val="center"/>
          </w:tcPr>
          <w:p>
            <w:pPr>
              <w:jc w:val="center"/>
            </w:pPr>
            <w:r>
              <w:rPr>
                <w:rFonts w:ascii="Arial" w:cs="Arial" w:eastAsia="Arial" w:hAnsi="Arial"/>
                <w:b/>
                <w:bCs/>
                <w:color w:val="D68910"/>
                <w:sz w:val="16"/>
                <w:szCs w:val="16"/>
              </w:rPr>
              <w:t xml:space="preserve">● PT RAISE</w:t>
            </w:r>
          </w:p>
        </w:tc>
      </w:tr>
      <w:tr>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May 29</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Goldman Sachs</w:t>
            </w:r>
          </w:p>
        </w:tc>
        <w:tc>
          <w:tcPr>
            <w:tcW w:type="dxa" w:w="15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Buy</w:t>
            </w:r>
          </w:p>
        </w:tc>
        <w:tc>
          <w:tcPr>
            <w:tcW w:type="dxa" w:w="1500"/>
            <w:tcBorders>
              <w:top w:val="single" w:color="D0D6DF" w:sz="1"/>
              <w:left w:val="single" w:color="D0D6DF" w:sz="1"/>
              <w:bottom w:val="single" w:color="D0D6DF" w:sz="1"/>
              <w:right w:val="single" w:color="D0D6DF" w:sz="1"/>
            </w:tcBorders>
            <w:shd w:fill="FEF9E7" w:val="clear"/>
            <w:tcMar>
              <w:top w:type="dxa" w:w="60"/>
              <w:left w:type="dxa" w:w="120"/>
              <w:bottom w:type="dxa" w:w="60"/>
              <w:right w:type="dxa" w:w="120"/>
            </w:tcMar>
            <w:vAlign w:val="center"/>
          </w:tcPr>
          <w:p>
            <w:pPr>
              <w:jc w:val="left"/>
            </w:pPr>
            <w:r>
              <w:rPr>
                <w:rFonts w:ascii="Arial" w:cs="Arial" w:eastAsia="Arial" w:hAnsi="Arial"/>
                <w:b/>
                <w:bCs/>
                <w:color w:val="1A5EA8"/>
                <w:sz w:val="18"/>
                <w:szCs w:val="18"/>
              </w:rPr>
              <w:t xml:space="preserve">Buy</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$230</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$500</w:t>
            </w:r>
          </w:p>
        </w:tc>
        <w:tc>
          <w:tcPr>
            <w:tcW w:type="dxa" w:w="900"/>
            <w:tcBorders>
              <w:top w:val="single" w:color="D0D6DF" w:sz="1"/>
              <w:left w:val="single" w:color="D0D6DF" w:sz="1"/>
              <w:bottom w:val="single" w:color="D0D6DF" w:sz="1"/>
              <w:right w:val="single" w:color="D0D6DF" w:sz="1"/>
            </w:tcBorders>
            <w:shd w:fill="FEF9E7" w:val="clear"/>
            <w:tcMar>
              <w:top w:type="dxa" w:w="60"/>
              <w:left w:type="dxa" w:w="80"/>
              <w:bottom w:type="dxa" w:w="60"/>
              <w:right w:type="dxa" w:w="80"/>
            </w:tcMar>
            <w:vAlign w:val="center"/>
          </w:tcPr>
          <w:p>
            <w:pPr>
              <w:jc w:val="center"/>
            </w:pPr>
            <w:r>
              <w:rPr>
                <w:rFonts w:ascii="Arial" w:cs="Arial" w:eastAsia="Arial" w:hAnsi="Arial"/>
                <w:b/>
                <w:bCs/>
                <w:color w:val="D68910"/>
                <w:sz w:val="16"/>
                <w:szCs w:val="16"/>
              </w:rPr>
              <w:t xml:space="preserve">● PT RAISE</w:t>
            </w:r>
          </w:p>
        </w:tc>
      </w:tr>
      <w:tr>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May 29</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Mizuho</w:t>
            </w:r>
          </w:p>
        </w:tc>
        <w:tc>
          <w:tcPr>
            <w:tcW w:type="dxa" w:w="15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Outperform</w:t>
            </w:r>
          </w:p>
        </w:tc>
        <w:tc>
          <w:tcPr>
            <w:tcW w:type="dxa" w:w="1500"/>
            <w:tcBorders>
              <w:top w:val="single" w:color="D0D6DF" w:sz="1"/>
              <w:left w:val="single" w:color="D0D6DF" w:sz="1"/>
              <w:bottom w:val="single" w:color="D0D6DF" w:sz="1"/>
              <w:right w:val="single" w:color="D0D6DF" w:sz="1"/>
            </w:tcBorders>
            <w:shd w:fill="FEF9E7" w:val="clear"/>
            <w:tcMar>
              <w:top w:type="dxa" w:w="60"/>
              <w:left w:type="dxa" w:w="120"/>
              <w:bottom w:type="dxa" w:w="60"/>
              <w:right w:type="dxa" w:w="120"/>
            </w:tcMar>
            <w:vAlign w:val="center"/>
          </w:tcPr>
          <w:p>
            <w:pPr>
              <w:jc w:val="left"/>
            </w:pPr>
            <w:r>
              <w:rPr>
                <w:rFonts w:ascii="Arial" w:cs="Arial" w:eastAsia="Arial" w:hAnsi="Arial"/>
                <w:b/>
                <w:bCs/>
                <w:color w:val="1A5EA8"/>
                <w:sz w:val="18"/>
                <w:szCs w:val="18"/>
              </w:rPr>
              <w:t xml:space="preserve">Outperform</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$435</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$500</w:t>
            </w:r>
          </w:p>
        </w:tc>
        <w:tc>
          <w:tcPr>
            <w:tcW w:type="dxa" w:w="900"/>
            <w:tcBorders>
              <w:top w:val="single" w:color="D0D6DF" w:sz="1"/>
              <w:left w:val="single" w:color="D0D6DF" w:sz="1"/>
              <w:bottom w:val="single" w:color="D0D6DF" w:sz="1"/>
              <w:right w:val="single" w:color="D0D6DF" w:sz="1"/>
            </w:tcBorders>
            <w:shd w:fill="FEF9E7" w:val="clear"/>
            <w:tcMar>
              <w:top w:type="dxa" w:w="60"/>
              <w:left w:type="dxa" w:w="80"/>
              <w:bottom w:type="dxa" w:w="60"/>
              <w:right w:type="dxa" w:w="80"/>
            </w:tcMar>
            <w:vAlign w:val="center"/>
          </w:tcPr>
          <w:p>
            <w:pPr>
              <w:jc w:val="center"/>
            </w:pPr>
            <w:r>
              <w:rPr>
                <w:rFonts w:ascii="Arial" w:cs="Arial" w:eastAsia="Arial" w:hAnsi="Arial"/>
                <w:b/>
                <w:bCs/>
                <w:color w:val="D68910"/>
                <w:sz w:val="16"/>
                <w:szCs w:val="16"/>
              </w:rPr>
              <w:t xml:space="preserve">● PT RAISE</w:t>
            </w:r>
          </w:p>
        </w:tc>
      </w:tr>
      <w:tr>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Jun 1</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Morgan Stanley</w:t>
            </w:r>
          </w:p>
        </w:tc>
        <w:tc>
          <w:tcPr>
            <w:tcW w:type="dxa" w:w="15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Underweight</w:t>
            </w:r>
          </w:p>
        </w:tc>
        <w:tc>
          <w:tcPr>
            <w:tcW w:type="dxa" w:w="1500"/>
            <w:tcBorders>
              <w:top w:val="single" w:color="D0D6DF" w:sz="1"/>
              <w:left w:val="single" w:color="D0D6DF" w:sz="1"/>
              <w:bottom w:val="single" w:color="D0D6DF" w:sz="1"/>
              <w:right w:val="single" w:color="D0D6DF" w:sz="1"/>
            </w:tcBorders>
            <w:shd w:fill="E8F5ED" w:val="clear"/>
            <w:tcMar>
              <w:top w:type="dxa" w:w="60"/>
              <w:left w:type="dxa" w:w="120"/>
              <w:bottom w:type="dxa" w:w="60"/>
              <w:right w:type="dxa" w:w="120"/>
            </w:tcMar>
            <w:vAlign w:val="center"/>
          </w:tcPr>
          <w:p>
            <w:pPr>
              <w:jc w:val="left"/>
            </w:pPr>
            <w:r>
              <w:rPr>
                <w:rFonts w:ascii="Arial" w:cs="Arial" w:eastAsia="Arial" w:hAnsi="Arial"/>
                <w:b/>
                <w:bCs/>
                <w:color w:val="1A5EA8"/>
                <w:sz w:val="18"/>
                <w:szCs w:val="18"/>
              </w:rPr>
              <w:t xml:space="preserve">Equal-weight</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$170</w:t>
            </w:r>
          </w:p>
        </w:tc>
        <w:tc>
          <w:tcPr>
            <w:tcW w:type="dxa" w:w="9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$448</w:t>
            </w:r>
          </w:p>
        </w:tc>
        <w:tc>
          <w:tcPr>
            <w:tcW w:type="dxa" w:w="900"/>
            <w:tcBorders>
              <w:top w:val="single" w:color="D0D6DF" w:sz="1"/>
              <w:left w:val="single" w:color="D0D6DF" w:sz="1"/>
              <w:bottom w:val="single" w:color="D0D6DF" w:sz="1"/>
              <w:right w:val="single" w:color="D0D6DF" w:sz="1"/>
            </w:tcBorders>
            <w:shd w:fill="E8F5ED" w:val="clear"/>
            <w:tcMar>
              <w:top w:type="dxa" w:w="60"/>
              <w:left w:type="dxa" w:w="80"/>
              <w:bottom w:type="dxa" w:w="60"/>
              <w:right w:type="dxa" w:w="80"/>
            </w:tcMar>
            <w:vAlign w:val="center"/>
          </w:tcPr>
          <w:p>
            <w:pPr>
              <w:jc w:val="center"/>
            </w:pPr>
            <w:r>
              <w:rPr>
                <w:rFonts w:ascii="Arial" w:cs="Arial" w:eastAsia="Arial" w:hAnsi="Arial"/>
                <w:b/>
                <w:bCs/>
                <w:color w:val="1A7A4A"/>
                <w:sz w:val="16"/>
                <w:szCs w:val="16"/>
              </w:rPr>
              <w:t xml:space="preserve">▲ UPGRADE</w:t>
            </w:r>
          </w:p>
        </w:tc>
      </w:tr>
    </w:tbl>
    <w:p>
      <w:pPr>
        <w:spacing w:after="80" w:before="0"/>
        <w:jc w:val="left"/>
      </w:pPr>
      <w:r>
        <w:rPr>
          <w:rFonts w:ascii="Arial" w:cs="Arial" w:eastAsia="Arial" w:hAnsi="Arial"/>
          <w:b w:val="false"/>
          <w:bCs w:val="false"/>
          <w:i w:val="false"/>
          <w:iCs w:val="false"/>
          <w:color w:val="000000"/>
          <w:sz w:val="20"/>
          <w:szCs w:val="20"/>
        </w:rPr>
        <w:t xml:space="preserve"/>
      </w:r>
    </w:p>
    <w:p>
      <w:pPr>
        <w:spacing w:after="40" w:before="80"/>
        <w:jc w:val="left"/>
      </w:pPr>
      <w:r>
        <w:rPr>
          <w:rFonts w:ascii="Arial" w:cs="Arial" w:eastAsia="Arial" w:hAnsi="Arial"/>
          <w:b/>
          <w:bCs/>
          <w:i w:val="false"/>
          <w:iCs w:val="false"/>
          <w:color w:val="000000"/>
          <w:sz w:val="20"/>
          <w:szCs w:val="20"/>
        </w:rPr>
        <w:t xml:space="preserve">Key Observations:</w:t>
      </w:r>
    </w:p>
    <w:p>
      <w:pPr>
        <w:spacing w:after="60" w:before="0"/>
        <w:jc w:val="left"/>
      </w:pPr>
      <w:r>
        <w:rPr>
          <w:rFonts w:ascii="Arial" w:cs="Arial" w:eastAsia="Arial" w:hAnsi="Arial"/>
          <w:b w:val="false"/>
          <w:bCs w:val="false"/>
          <w:i w:val="false"/>
          <w:iCs w:val="false"/>
          <w:color w:val="000000"/>
          <w:sz w:val="20"/>
          <w:szCs w:val="20"/>
        </w:rPr>
        <w:t xml:space="preserve">The UBS downgrade (May 11) was the sole outright rating cut during the period and triggered a two-day -8.5% combined decline, illustrating the stock's sensitivity to valuation-based caution. However, the post-earnings reaction (June 1: +11% intraday, new 52-week high of $469.47) demonstrated that the structural demand narrative outweighed valuation pushback. Morgan Stanley's reversal from Underweight to Equal-weight — the most dramatic inversion on the Street — signals that even the bears have capitulated on the growth story.</w:t>
      </w:r>
    </w:p>
    <w:p>
      <w:pPr>
        <w:spacing w:after="80" w:before="0"/>
        <w:jc w:val="left"/>
      </w:pPr>
      <w:r>
        <w:rPr>
          <w:rFonts w:ascii="Arial" w:cs="Arial" w:eastAsia="Arial" w:hAnsi="Arial"/>
          <w:b w:val="false"/>
          <w:bCs w:val="false"/>
          <w:i w:val="false"/>
          <w:iCs w:val="false"/>
          <w:color w:val="000000"/>
          <w:sz w:val="20"/>
          <w:szCs w:val="20"/>
        </w:rPr>
        <w:t xml:space="preserve">Price target dispersion is exceptionally wide ($243 UBS bear case vs. $550 Barclays bull case), reflecting genuine uncertainty over where AI server demand plateaus. This spread — a 127% gap between low and high targets — represents a trading opportunity: the tight range between $443 (consensus) and $469 (recent high) is likely a staging area before the next catalyst.</w:t>
      </w:r>
    </w:p>
    <w:p>
      <w:r>
        <w:br w:type="page"/>
      </w:r>
    </w:p>
    <w:p>
      <w:pPr>
        <w:pStyle w:val="Heading1"/>
        <w:spacing w:after="100" w:before="280"/>
      </w:pPr>
      <w:r>
        <w:rPr>
          <w:rFonts w:ascii="Arial" w:cs="Arial" w:eastAsia="Arial" w:hAnsi="Arial"/>
          <w:b/>
          <w:bCs/>
          <w:color w:val="0D2340"/>
          <w:sz w:val="30"/>
          <w:szCs w:val="30"/>
        </w:rPr>
        <w:t xml:space="preserve">3. Financial Performance Deep Dive</w:t>
      </w:r>
    </w:p>
    <w:p>
      <w:pPr>
        <w:pBdr>
          <w:bottom w:val="single" w:color="1A5EA8" w:sz="12" w:space="1"/>
        </w:pBdr>
        <w:spacing w:after="80" w:before="120"/>
      </w:pPr>
    </w:p>
    <w:p>
      <w:pPr>
        <w:pStyle w:val="Heading2"/>
        <w:spacing w:after="80" w:before="200"/>
      </w:pPr>
      <w:r>
        <w:rPr>
          <w:rFonts w:ascii="Arial" w:cs="Arial" w:eastAsia="Arial" w:hAnsi="Arial"/>
          <w:b/>
          <w:bCs/>
          <w:color w:val="1A5EA8"/>
          <w:sz w:val="24"/>
          <w:szCs w:val="24"/>
        </w:rPr>
        <w:t xml:space="preserve">3.1  Revenue Architecture</w:t>
      </w:r>
    </w:p>
    <w:p>
      <w:pPr>
        <w:spacing w:after="80" w:before="0"/>
        <w:jc w:val="left"/>
      </w:pPr>
      <w:r>
        <w:rPr>
          <w:rFonts w:ascii="Arial" w:cs="Arial" w:eastAsia="Arial" w:hAnsi="Arial"/>
          <w:b w:val="false"/>
          <w:bCs w:val="false"/>
          <w:i w:val="false"/>
          <w:iCs w:val="false"/>
          <w:color w:val="000000"/>
          <w:sz w:val="20"/>
          <w:szCs w:val="20"/>
        </w:rPr>
        <w:t xml:space="preserve">Dell operates two primary segments: Infrastructure Solutions Group (ISG) and Client Solutions Group (CSG). The Q1 FY2027 print revealed ISG's dominance reaching historic proportions: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Segment / Sub-segment</w:t>
            </w:r>
          </w:p>
        </w:tc>
        <w:tc>
          <w:tcPr>
            <w:tcW w:type="dxa" w:w="16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Q1 FY27 Revenue</w:t>
            </w:r>
          </w:p>
        </w:tc>
        <w:tc>
          <w:tcPr>
            <w:tcW w:type="dxa" w:w="16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YoY Growth</w:t>
            </w:r>
          </w:p>
        </w:tc>
        <w:tc>
          <w:tcPr>
            <w:tcW w:type="dxa" w:w="16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Q1 FY27 Op. Income</w:t>
            </w:r>
          </w:p>
        </w:tc>
        <w:tc>
          <w:tcPr>
            <w:tcW w:type="dxa" w:w="176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OI Growth YoY</w:t>
            </w:r>
          </w:p>
        </w:tc>
      </w:tr>
      <w:tr>
        <w:tc>
          <w:tcPr>
            <w:tcW w:type="dxa" w:w="28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ISG — Total</w:t>
            </w:r>
          </w:p>
        </w:tc>
        <w:tc>
          <w:tcPr>
            <w:tcW w:type="dxa" w:w="16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center"/>
            </w:pPr>
            <w:r>
              <w:rPr>
                <w:rFonts w:ascii="Arial" w:cs="Arial" w:eastAsia="Arial" w:hAnsi="Arial"/>
                <w:b/>
                <w:bCs/>
                <w:color w:val="0D2340"/>
                <w:sz w:val="18"/>
                <w:szCs w:val="18"/>
              </w:rPr>
              <w:t xml:space="preserve">$29.0B</w:t>
            </w:r>
          </w:p>
        </w:tc>
        <w:tc>
          <w:tcPr>
            <w:tcW w:type="dxa" w:w="16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+181%</w:t>
            </w:r>
          </w:p>
        </w:tc>
        <w:tc>
          <w:tcPr>
            <w:tcW w:type="dxa" w:w="16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center"/>
            </w:pPr>
            <w:r>
              <w:rPr>
                <w:rFonts w:ascii="Arial" w:cs="Arial" w:eastAsia="Arial" w:hAnsi="Arial"/>
                <w:b/>
                <w:bCs/>
                <w:color w:val="0D2340"/>
                <w:sz w:val="18"/>
                <w:szCs w:val="18"/>
              </w:rPr>
              <w:t xml:space="preserve">$3.1B</w:t>
            </w:r>
          </w:p>
        </w:tc>
        <w:tc>
          <w:tcPr>
            <w:tcW w:type="dxa" w:w="176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+206%</w:t>
            </w:r>
          </w:p>
        </w:tc>
      </w:tr>
      <w:tr>
        <w:tc>
          <w:tcPr>
            <w:tcW w:type="dxa" w:w="28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  — AI-Optimised Servers</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D2340"/>
                <w:sz w:val="18"/>
                <w:szCs w:val="18"/>
              </w:rPr>
              <w:t xml:space="preserve">$16.1B</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+757%</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w:t>
            </w:r>
          </w:p>
        </w:tc>
        <w:tc>
          <w:tcPr>
            <w:tcW w:type="dxa" w:w="17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w:t>
            </w:r>
          </w:p>
        </w:tc>
      </w:tr>
      <w:tr>
        <w:tc>
          <w:tcPr>
            <w:tcW w:type="dxa" w:w="28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  — Traditional Servers</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D2340"/>
                <w:sz w:val="18"/>
                <w:szCs w:val="18"/>
              </w:rPr>
              <w:t xml:space="preserve">$8.5B</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1A7A4A"/>
                <w:sz w:val="18"/>
                <w:szCs w:val="18"/>
              </w:rPr>
              <w:t xml:space="preserve">+92%</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w:t>
            </w:r>
          </w:p>
        </w:tc>
        <w:tc>
          <w:tcPr>
            <w:tcW w:type="dxa" w:w="17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w:t>
            </w:r>
          </w:p>
        </w:tc>
      </w:tr>
      <w:tr>
        <w:tc>
          <w:tcPr>
            <w:tcW w:type="dxa" w:w="28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  — Storage</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D2340"/>
                <w:sz w:val="18"/>
                <w:szCs w:val="18"/>
              </w:rPr>
              <w:t xml:space="preserve">$4.3B</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D68910"/>
                <w:sz w:val="18"/>
                <w:szCs w:val="18"/>
              </w:rPr>
              <w:t xml:space="preserve">+8%</w:t>
            </w:r>
          </w:p>
        </w:tc>
        <w:tc>
          <w:tcPr>
            <w:tcW w:type="dxa" w:w="16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w:t>
            </w:r>
          </w:p>
        </w:tc>
        <w:tc>
          <w:tcPr>
            <w:tcW w:type="dxa" w:w="17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w:t>
            </w:r>
          </w:p>
        </w:tc>
      </w:tr>
      <w:tr>
        <w:tc>
          <w:tcPr>
            <w:tcW w:type="dxa" w:w="28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CSG — Total</w:t>
            </w:r>
          </w:p>
        </w:tc>
        <w:tc>
          <w:tcPr>
            <w:tcW w:type="dxa" w:w="16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center"/>
            </w:pPr>
            <w:r>
              <w:rPr>
                <w:rFonts w:ascii="Arial" w:cs="Arial" w:eastAsia="Arial" w:hAnsi="Arial"/>
                <w:b/>
                <w:bCs/>
                <w:color w:val="0D2340"/>
                <w:sz w:val="18"/>
                <w:szCs w:val="18"/>
              </w:rPr>
              <w:t xml:space="preserve">$14.6B</w:t>
            </w:r>
          </w:p>
        </w:tc>
        <w:tc>
          <w:tcPr>
            <w:tcW w:type="dxa" w:w="16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+17%</w:t>
            </w:r>
          </w:p>
        </w:tc>
        <w:tc>
          <w:tcPr>
            <w:tcW w:type="dxa" w:w="16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w:t>
            </w:r>
          </w:p>
        </w:tc>
        <w:tc>
          <w:tcPr>
            <w:tcW w:type="dxa" w:w="176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center"/>
            </w:pPr>
            <w:r>
              <w:rPr>
                <w:rFonts w:ascii="Arial" w:cs="Arial" w:eastAsia="Arial" w:hAnsi="Arial"/>
                <w:b w:val="false"/>
                <w:bCs w:val="false"/>
                <w:color w:val="5A6478"/>
                <w:sz w:val="18"/>
                <w:szCs w:val="18"/>
              </w:rPr>
              <w:t xml:space="preserve">—</w:t>
            </w:r>
          </w:p>
        </w:tc>
      </w:tr>
      <w:tr>
        <w:tc>
          <w:tcPr>
            <w:tcW w:type="dxa" w:w="2800"/>
            <w:tcBorders>
              <w:top w:val="single" w:color="D0D6DF" w:sz="1"/>
              <w:left w:val="single" w:color="D0D6DF" w:sz="1"/>
              <w:bottom w:val="single" w:color="D0D6DF" w:sz="1"/>
              <w:right w:val="single" w:color="D0D6DF" w:sz="1"/>
            </w:tcBorders>
            <w:shd w:fill="0D2340" w:val="clear"/>
            <w:tcMar>
              <w:top w:type="dxa" w:w="60"/>
              <w:left w:type="dxa" w:w="120"/>
              <w:bottom w:type="dxa" w:w="60"/>
              <w:right w:type="dxa" w:w="120"/>
            </w:tcMar>
            <w:vAlign w:val="center"/>
          </w:tcPr>
          <w:p>
            <w:pPr>
              <w:jc w:val="left"/>
            </w:pPr>
            <w:r>
              <w:rPr>
                <w:rFonts w:ascii="Arial" w:cs="Arial" w:eastAsia="Arial" w:hAnsi="Arial"/>
                <w:b/>
                <w:bCs/>
                <w:color w:val="FFFFFF"/>
                <w:sz w:val="18"/>
                <w:szCs w:val="18"/>
              </w:rPr>
              <w:t xml:space="preserve">Total Revenue</w:t>
            </w:r>
          </w:p>
        </w:tc>
        <w:tc>
          <w:tcPr>
            <w:tcW w:type="dxa" w:w="1600"/>
            <w:tcBorders>
              <w:top w:val="single" w:color="D0D6DF" w:sz="1"/>
              <w:left w:val="single" w:color="D0D6DF" w:sz="1"/>
              <w:bottom w:val="single" w:color="D0D6DF" w:sz="1"/>
              <w:right w:val="single" w:color="D0D6DF" w:sz="1"/>
            </w:tcBorders>
            <w:shd w:fill="0D2340" w:val="clear"/>
            <w:tcMar>
              <w:top w:type="dxa" w:w="60"/>
              <w:left w:type="dxa" w:w="120"/>
              <w:bottom w:type="dxa" w:w="60"/>
              <w:right w:type="dxa" w:w="120"/>
            </w:tcMar>
            <w:vAlign w:val="center"/>
          </w:tcPr>
          <w:p>
            <w:pPr>
              <w:jc w:val="center"/>
            </w:pPr>
            <w:r>
              <w:rPr>
                <w:rFonts w:ascii="Arial" w:cs="Arial" w:eastAsia="Arial" w:hAnsi="Arial"/>
                <w:b/>
                <w:bCs/>
                <w:color w:val="FFFFFF"/>
                <w:sz w:val="18"/>
                <w:szCs w:val="18"/>
              </w:rPr>
              <w:t xml:space="preserve">$43.8B</w:t>
            </w:r>
          </w:p>
        </w:tc>
        <w:tc>
          <w:tcPr>
            <w:tcW w:type="dxa" w:w="1600"/>
            <w:tcBorders>
              <w:top w:val="single" w:color="D0D6DF" w:sz="1"/>
              <w:left w:val="single" w:color="D0D6DF" w:sz="1"/>
              <w:bottom w:val="single" w:color="D0D6DF" w:sz="1"/>
              <w:right w:val="single" w:color="D0D6DF" w:sz="1"/>
            </w:tcBorders>
            <w:shd w:fill="0D2340" w:val="clear"/>
            <w:tcMar>
              <w:top w:type="dxa" w:w="60"/>
              <w:left w:type="dxa" w:w="120"/>
              <w:bottom w:type="dxa" w:w="60"/>
              <w:right w:type="dxa" w:w="120"/>
            </w:tcMar>
            <w:vAlign w:val="center"/>
          </w:tcPr>
          <w:p>
            <w:pPr>
              <w:jc w:val="center"/>
            </w:pPr>
            <w:r>
              <w:rPr>
                <w:rFonts w:ascii="Arial" w:cs="Arial" w:eastAsia="Arial" w:hAnsi="Arial"/>
                <w:b/>
                <w:bCs/>
                <w:color w:val="90D4B0"/>
                <w:sz w:val="18"/>
                <w:szCs w:val="18"/>
              </w:rPr>
              <w:t xml:space="preserve">+88%</w:t>
            </w:r>
          </w:p>
        </w:tc>
        <w:tc>
          <w:tcPr>
            <w:tcW w:type="dxa" w:w="1600"/>
            <w:tcBorders>
              <w:top w:val="single" w:color="D0D6DF" w:sz="1"/>
              <w:left w:val="single" w:color="D0D6DF" w:sz="1"/>
              <w:bottom w:val="single" w:color="D0D6DF" w:sz="1"/>
              <w:right w:val="single" w:color="D0D6DF" w:sz="1"/>
            </w:tcBorders>
            <w:shd w:fill="0D2340" w:val="clear"/>
            <w:tcMar>
              <w:top w:type="dxa" w:w="60"/>
              <w:left w:type="dxa" w:w="120"/>
              <w:bottom w:type="dxa" w:w="60"/>
              <w:right w:type="dxa" w:w="120"/>
            </w:tcMar>
            <w:vAlign w:val="center"/>
          </w:tcPr>
          <w:p>
            <w:pPr>
              <w:jc w:val="center"/>
            </w:pPr>
            <w:r>
              <w:rPr>
                <w:rFonts w:ascii="Arial" w:cs="Arial" w:eastAsia="Arial" w:hAnsi="Arial"/>
                <w:b w:val="false"/>
                <w:bCs w:val="false"/>
                <w:color w:val="8AAFDC"/>
                <w:sz w:val="18"/>
                <w:szCs w:val="18"/>
              </w:rPr>
              <w:t xml:space="preserve">—</w:t>
            </w:r>
          </w:p>
        </w:tc>
        <w:tc>
          <w:tcPr>
            <w:tcW w:type="dxa" w:w="1760"/>
            <w:tcBorders>
              <w:top w:val="single" w:color="D0D6DF" w:sz="1"/>
              <w:left w:val="single" w:color="D0D6DF" w:sz="1"/>
              <w:bottom w:val="single" w:color="D0D6DF" w:sz="1"/>
              <w:right w:val="single" w:color="D0D6DF" w:sz="1"/>
            </w:tcBorders>
            <w:shd w:fill="0D2340" w:val="clear"/>
            <w:tcMar>
              <w:top w:type="dxa" w:w="60"/>
              <w:left w:type="dxa" w:w="120"/>
              <w:bottom w:type="dxa" w:w="60"/>
              <w:right w:type="dxa" w:w="120"/>
            </w:tcMar>
            <w:vAlign w:val="center"/>
          </w:tcPr>
          <w:p>
            <w:pPr>
              <w:jc w:val="center"/>
            </w:pPr>
            <w:r>
              <w:rPr>
                <w:rFonts w:ascii="Arial" w:cs="Arial" w:eastAsia="Arial" w:hAnsi="Arial"/>
                <w:b w:val="false"/>
                <w:bCs w:val="false"/>
                <w:color w:val="8AAFDC"/>
                <w:sz w:val="18"/>
                <w:szCs w:val="18"/>
              </w:rPr>
              <w:t xml:space="preserve">—</w:t>
            </w:r>
          </w:p>
        </w:tc>
      </w:tr>
    </w:tbl>
    <w:p>
      <w:pPr>
        <w:spacing w:after="6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The 757% YoY growth in AI server revenue is not a typo. Dell shipped $16.1B of AI-optimised servers in a single quarter against $1.86B in Q1 FY2026. To contextualise this: Dell's entire FY2024 revenue was approximately $88B. In one quarter, the AI server line alone reached ~18% of prior fiscal year total. The structural read-through is clear: this is not a cycle — it is a platform transition.</w:t>
      </w:r>
    </w:p>
    <w:p>
      <w:pPr>
        <w:pStyle w:val="Heading2"/>
        <w:spacing w:after="80" w:before="200"/>
      </w:pPr>
      <w:r>
        <w:rPr>
          <w:rFonts w:ascii="Arial" w:cs="Arial" w:eastAsia="Arial" w:hAnsi="Arial"/>
          <w:b/>
          <w:bCs/>
          <w:color w:val="1A5EA8"/>
          <w:sz w:val="24"/>
          <w:szCs w:val="24"/>
        </w:rPr>
        <w:t xml:space="preserve">3.2  Backlog &amp; Order Coverage</w:t>
      </w:r>
    </w:p>
    <w:p>
      <w:pPr>
        <w:spacing w:after="80" w:before="0"/>
        <w:jc w:val="left"/>
      </w:pPr>
      <w:r>
        <w:rPr>
          <w:rFonts w:ascii="Arial" w:cs="Arial" w:eastAsia="Arial" w:hAnsi="Arial"/>
          <w:b w:val="false"/>
          <w:bCs w:val="false"/>
          <w:i w:val="false"/>
          <w:iCs w:val="false"/>
          <w:color w:val="000000"/>
          <w:sz w:val="20"/>
          <w:szCs w:val="20"/>
        </w:rPr>
        <w:t xml:space="preserve">The $51.3 billion AI backlog is arguably the most important number in the Dell story. At Q1 FY27's AI server revenue run-rate (~$16B/quarter), this represents approximately 3.2 quarters of AI server revenue coverage — an unprecedented forward-looking buffer for an IT hardware company. AI orders of $24.4 billion in Q1 alone exceeded the full-year FY2025 AI server revenue, demonstrating accelerating rather than plateauing demand.</w:t>
      </w:r>
    </w:p>
    <w:p>
      <w:pPr>
        <w:pStyle w:val="Heading2"/>
        <w:spacing w:after="80" w:before="200"/>
      </w:pPr>
      <w:r>
        <w:rPr>
          <w:rFonts w:ascii="Arial" w:cs="Arial" w:eastAsia="Arial" w:hAnsi="Arial"/>
          <w:b/>
          <w:bCs/>
          <w:color w:val="1A5EA8"/>
          <w:sz w:val="24"/>
          <w:szCs w:val="24"/>
        </w:rPr>
        <w:t xml:space="preserve">3.3  Profitability &amp; Margin Trajectory</w:t>
      </w:r>
    </w:p>
    <w:p>
      <w:pPr>
        <w:spacing w:after="80" w:before="0"/>
        <w:jc w:val="left"/>
      </w:pPr>
      <w:r>
        <w:rPr>
          <w:rFonts w:ascii="Arial" w:cs="Arial" w:eastAsia="Arial" w:hAnsi="Arial"/>
          <w:b w:val="false"/>
          <w:bCs w:val="false"/>
          <w:i w:val="false"/>
          <w:iCs w:val="false"/>
          <w:color w:val="000000"/>
          <w:sz w:val="20"/>
          <w:szCs w:val="20"/>
        </w:rPr>
        <w:t xml:space="preserve">ISG operating income of $3.1B (+206% YoY) on $29B revenue implies a ~10.7% operating margin for the segment. This is lower than Dell's traditional server margins (~12-14%), reflecting the GPU-intensive cost structure of AI servers where NVIDIA H100/H200/B200 GPUs represent 60-70% of bill of materials. Management's strategy is to offset this mix headwind through: (1) attaching higher-margin storage and services to AI server deployments; (2) improving software and integration revenue within AI Factory engagements; and (3) leveraging volume to extract better GPU pricing from NVIDIA over time.</w:t>
      </w:r>
    </w:p>
    <w:p>
      <w:pPr>
        <w:spacing w:after="80" w:before="0"/>
        <w:jc w:val="left"/>
      </w:pPr>
      <w:r>
        <w:rPr>
          <w:rFonts w:ascii="Arial" w:cs="Arial" w:eastAsia="Arial" w:hAnsi="Arial"/>
          <w:b w:val="false"/>
          <w:bCs w:val="false"/>
          <w:i w:val="false"/>
          <w:iCs w:val="false"/>
          <w:color w:val="000000"/>
          <w:sz w:val="20"/>
          <w:szCs w:val="20"/>
        </w:rPr>
        <w:t xml:space="preserve">Full-year FY27 non-GAAP EPS guidance of $12.90 at midpoint represents 25% growth — impressive for a company at $134B LTM revenue scale. The EPS growth of 17% in Q1 growing '3x faster than the stock' in one analyst's framing reflects the operating leverage embedded in Dell's model as server volumes scale without proportional SG&amp;A growth.</w:t>
      </w:r>
    </w:p>
    <w:p>
      <w:r>
        <w:br w:type="page"/>
      </w:r>
    </w:p>
    <w:p>
      <w:pPr>
        <w:pStyle w:val="Heading1"/>
        <w:spacing w:after="100" w:before="280"/>
      </w:pPr>
      <w:r>
        <w:rPr>
          <w:rFonts w:ascii="Arial" w:cs="Arial" w:eastAsia="Arial" w:hAnsi="Arial"/>
          <w:b/>
          <w:bCs/>
          <w:color w:val="0D2340"/>
          <w:sz w:val="30"/>
          <w:szCs w:val="30"/>
        </w:rPr>
        <w:t xml:space="preserve">4. Strategic Positioning: The AI Factory Ecosystem</w:t>
      </w:r>
    </w:p>
    <w:p>
      <w:pPr>
        <w:pBdr>
          <w:bottom w:val="single" w:color="1A5EA8" w:sz="12" w:space="1"/>
        </w:pBdr>
        <w:spacing w:after="80" w:before="120"/>
      </w:pPr>
    </w:p>
    <w:p>
      <w:pPr>
        <w:spacing w:after="80" w:before="0"/>
        <w:jc w:val="left"/>
      </w:pPr>
      <w:r>
        <w:rPr>
          <w:rFonts w:ascii="Arial" w:cs="Arial" w:eastAsia="Arial" w:hAnsi="Arial"/>
          <w:b w:val="false"/>
          <w:bCs w:val="false"/>
          <w:i w:val="false"/>
          <w:iCs w:val="false"/>
          <w:color w:val="000000"/>
          <w:sz w:val="20"/>
          <w:szCs w:val="20"/>
        </w:rPr>
        <w:t xml:space="preserve">Dell Technologies World 2026 (May 18-22) was the most consequential product event in the company's recent history. It reframed Dell's identity from hardware OEM to end-to-end AI infrastructure platform — a critical positioning shift that justifies premium multiple expansion:</w:t>
      </w:r>
    </w:p>
    <w:p>
      <w:pPr>
        <w:pStyle w:val="Heading2"/>
        <w:spacing w:after="80" w:before="200"/>
      </w:pPr>
      <w:r>
        <w:rPr>
          <w:rFonts w:ascii="Arial" w:cs="Arial" w:eastAsia="Arial" w:hAnsi="Arial"/>
          <w:b/>
          <w:bCs/>
          <w:color w:val="1A5EA8"/>
          <w:sz w:val="24"/>
          <w:szCs w:val="24"/>
        </w:rPr>
        <w:t xml:space="preserve">4.1  Dell AI Factory — Platform Architecture</w:t>
      </w:r>
    </w:p>
    <w:p>
      <w:pPr>
        <w:spacing w:after="60" w:before="0"/>
        <w:jc w:val="left"/>
      </w:pPr>
      <w:r>
        <w:rPr>
          <w:rFonts w:ascii="Arial" w:cs="Arial" w:eastAsia="Arial" w:hAnsi="Arial"/>
          <w:b w:val="false"/>
          <w:bCs w:val="false"/>
          <w:i w:val="false"/>
          <w:iCs w:val="false"/>
          <w:color w:val="000000"/>
          <w:sz w:val="20"/>
          <w:szCs w:val="20"/>
        </w:rPr>
        <w:t xml:space="preserve">The AI Factory is Dell's integrated stack spanning edge compute, on-premises data centres, and cloud-adjacent infrastructure. Key announcements included:</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Dell Deskside Agentic AI: Production-ready workstations for local inference, reducing cloud token costs by up to 87% while keeping sensitive data on-premises. Targets regulated industries (finance, healthcare, legal) with data residency requirements.</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Exascale Storage: New liquid-cooled storage architecture purpose-built for AI training workloads, addressing the storage bottleneck that limits GPU utilisation in large-scale deployments.</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PowerEdge XE Liquid-Cooled Servers: Next-generation GPU servers compatible with NVIDIA Blackwell architecture, ensuring Dell captures the B200/B300 upgrade cycle.</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5,000+ AI Factory Customers: Customer base grew by 1,000 in a single quarter — a 25% sequential expansion rate that implies sustained demand even after the initial capex wave.</w:t>
      </w:r>
    </w:p>
    <w:p>
      <w:pPr>
        <w:pStyle w:val="Heading2"/>
        <w:spacing w:after="80" w:before="200"/>
      </w:pPr>
      <w:r>
        <w:rPr>
          <w:rFonts w:ascii="Arial" w:cs="Arial" w:eastAsia="Arial" w:hAnsi="Arial"/>
          <w:b/>
          <w:bCs/>
          <w:color w:val="1A5EA8"/>
          <w:sz w:val="24"/>
          <w:szCs w:val="24"/>
        </w:rPr>
        <w:t xml:space="preserve">4.2  Ecosystem Partnerships (Announced at DTW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Partner</w:t>
            </w:r>
          </w:p>
        </w:tc>
        <w:tc>
          <w:tcPr>
            <w:tcW w:type="dxa" w:w="736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Integration</w:t>
            </w:r>
          </w:p>
        </w:tc>
      </w:tr>
      <w:tr>
        <w:tc>
          <w:tcPr>
            <w:tcW w:type="dxa" w:w="20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NVIDIA</w:t>
            </w:r>
          </w:p>
        </w:tc>
        <w:tc>
          <w:tcPr>
            <w:tcW w:type="dxa" w:w="73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Foundational GPU supply partner. Joint AI Factory reference architectures. Blackwell GPU priority allocation for Dell enterprise customers.</w:t>
            </w:r>
          </w:p>
        </w:tc>
      </w:tr>
      <w:tr>
        <w:tc>
          <w:tcPr>
            <w:tcW w:type="dxa" w:w="20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Palantir</w:t>
            </w:r>
          </w:p>
        </w:tc>
        <w:tc>
          <w:tcPr>
            <w:tcW w:type="dxa" w:w="73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Foundry and AIP platforms brought on-premises to Dell infrastructure — unlocking defence, government, and regulated enterprise verticals.</w:t>
            </w:r>
          </w:p>
        </w:tc>
      </w:tr>
      <w:tr>
        <w:tc>
          <w:tcPr>
            <w:tcW w:type="dxa" w:w="20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ServiceNow</w:t>
            </w:r>
          </w:p>
        </w:tc>
        <w:tc>
          <w:tcPr>
            <w:tcW w:type="dxa" w:w="73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Now Platform AI agents integrated with Dell AI Factory, enabling enterprise workflow automation on-premises without cloud dependency.</w:t>
            </w:r>
          </w:p>
        </w:tc>
      </w:tr>
      <w:tr>
        <w:tc>
          <w:tcPr>
            <w:tcW w:type="dxa" w:w="20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OpenAI</w:t>
            </w:r>
          </w:p>
        </w:tc>
        <w:tc>
          <w:tcPr>
            <w:tcW w:type="dxa" w:w="73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Codex coding agent integrated with Dell's AI Data Platform — positions Dell as the preferred on-premises compute for AI-native software development.</w:t>
            </w:r>
          </w:p>
        </w:tc>
      </w:tr>
      <w:tr>
        <w:tc>
          <w:tcPr>
            <w:tcW w:type="dxa" w:w="20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Google / Gemini</w:t>
            </w:r>
          </w:p>
        </w:tc>
        <w:tc>
          <w:tcPr>
            <w:tcW w:type="dxa" w:w="73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Google Distributed Cloud with Gemini 3.0 running on Dell infrastructure — sovereign AI deployment capability for non-US markets.</w:t>
            </w:r>
          </w:p>
        </w:tc>
      </w:tr>
      <w:tr>
        <w:tc>
          <w:tcPr>
            <w:tcW w:type="dxa" w:w="20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Hugging Face</w:t>
            </w:r>
          </w:p>
        </w:tc>
        <w:tc>
          <w:tcPr>
            <w:tcW w:type="dxa" w:w="73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Open-source model ecosystem access on Dell hardware — critical for customers wanting model optionality beyond proprietary providers.</w:t>
            </w:r>
          </w:p>
        </w:tc>
      </w:tr>
    </w:tbl>
    <w:p>
      <w:pPr>
        <w:spacing w:after="6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The breadth of partnerships is strategically significant. Unlike pure-play hyperscalers, Dell offers vendor-neutral, on-premises AI infrastructure that works with multiple model providers — a key differentiator for enterprises concerned about cloud concentration risk, data sovereignty, and unpredictable token costs.</w:t>
      </w:r>
    </w:p>
    <w:p>
      <w:pPr>
        <w:pStyle w:val="Heading2"/>
        <w:spacing w:after="80" w:before="200"/>
      </w:pPr>
      <w:r>
        <w:rPr>
          <w:rFonts w:ascii="Arial" w:cs="Arial" w:eastAsia="Arial" w:hAnsi="Arial"/>
          <w:b/>
          <w:bCs/>
          <w:color w:val="1A5EA8"/>
          <w:sz w:val="24"/>
          <w:szCs w:val="24"/>
        </w:rPr>
        <w:t xml:space="preserve">4.3  Competitive Positioning vs. HPE and Super Micro</w:t>
      </w:r>
    </w:p>
    <w:p>
      <w:pPr>
        <w:spacing w:after="60" w:before="0"/>
        <w:jc w:val="left"/>
      </w:pPr>
      <w:r>
        <w:rPr>
          <w:rFonts w:ascii="Arial" w:cs="Arial" w:eastAsia="Arial" w:hAnsi="Arial"/>
          <w:b w:val="false"/>
          <w:bCs w:val="false"/>
          <w:i w:val="false"/>
          <w:iCs w:val="false"/>
          <w:color w:val="000000"/>
          <w:sz w:val="20"/>
          <w:szCs w:val="20"/>
        </w:rPr>
        <w:t xml:space="preserve">Hewlett Packard Enterprise (HPE) is the most direct comparable. HPE's AI server backlog of ~$5 billion versus Dell's $51.3 billion represents a 10x gap in demand capture. Dell's advantage stems from: (1) a larger and more tenured direct enterprise sales force capable of complex solution selling; (2) faster supply chain execution through NVIDIA GPU priority; and (3) a services and support ecosystem (ProSupport, Managed Services) that drives customer retention and recurring revenue.</w:t>
      </w:r>
    </w:p>
    <w:p>
      <w:pPr>
        <w:spacing w:after="80" w:before="0"/>
        <w:jc w:val="left"/>
      </w:pPr>
      <w:r>
        <w:rPr>
          <w:rFonts w:ascii="Arial" w:cs="Arial" w:eastAsia="Arial" w:hAnsi="Arial"/>
          <w:b w:val="false"/>
          <w:bCs w:val="false"/>
          <w:i w:val="false"/>
          <w:iCs w:val="false"/>
          <w:color w:val="000000"/>
          <w:sz w:val="20"/>
          <w:szCs w:val="20"/>
        </w:rPr>
        <w:t xml:space="preserve">Super Micro remains a low-cost alternative, particularly for hyperscaler-adjacent and cryptocurrency-adjacent deployments. However, Super Micro's governance challenges and narrower service offering limit its enterprise penetration — precisely Dell's heartland.</w:t>
      </w:r>
    </w:p>
    <w:p>
      <w:r>
        <w:br w:type="page"/>
      </w:r>
    </w:p>
    <w:p>
      <w:pPr>
        <w:pStyle w:val="Heading1"/>
        <w:spacing w:after="100" w:before="280"/>
      </w:pPr>
      <w:r>
        <w:rPr>
          <w:rFonts w:ascii="Arial" w:cs="Arial" w:eastAsia="Arial" w:hAnsi="Arial"/>
          <w:b/>
          <w:bCs/>
          <w:color w:val="0D2340"/>
          <w:sz w:val="30"/>
          <w:szCs w:val="30"/>
        </w:rPr>
        <w:t xml:space="preserve">5. Valuation Analysis</w:t>
      </w:r>
    </w:p>
    <w:p>
      <w:pPr>
        <w:pBdr>
          <w:bottom w:val="single" w:color="1A5EA8" w:sz="12" w:space="1"/>
        </w:pBd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Metric</w:t>
            </w:r>
          </w:p>
        </w:tc>
        <w:tc>
          <w:tcPr>
            <w:tcW w:type="dxa" w:w="22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 TTM</w:t>
            </w:r>
          </w:p>
        </w:tc>
        <w:tc>
          <w:tcPr>
            <w:tcW w:type="dxa" w:w="22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FY27E (Guidance Mid)</w:t>
            </w:r>
          </w:p>
        </w:tc>
        <w:tc>
          <w:tcPr>
            <w:tcW w:type="dxa" w:w="216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Commentary</w:t>
            </w:r>
          </w:p>
        </w:tc>
      </w:tr>
      <w:tr>
        <w:tc>
          <w:tcPr>
            <w:tcW w:type="dxa" w:w="28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Revenue (TTM)</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$134B</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~$160–170B est.</w:t>
            </w:r>
          </w:p>
        </w:tc>
        <w:tc>
          <w:tcPr>
            <w:tcW w:type="dxa" w:w="21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88% Q1 growth; FY27 likely $160B+ on backlog conversion</w:t>
            </w:r>
          </w:p>
        </w:tc>
      </w:tr>
      <w:tr>
        <w:tc>
          <w:tcPr>
            <w:tcW w:type="dxa" w:w="28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Non-GAAP EPS</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$10.32*</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$12.90 guide mid</w:t>
            </w:r>
          </w:p>
        </w:tc>
        <w:tc>
          <w:tcPr>
            <w:tcW w:type="dxa" w:w="21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*Annualised from Q1 run-rate; 25% YoY guided growth</w:t>
            </w:r>
          </w:p>
        </w:tc>
      </w:tr>
      <w:tr>
        <w:tc>
          <w:tcPr>
            <w:tcW w:type="dxa" w:w="28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P/E (Non-GAAP Fwd)</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~35x</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~35x at $455 px</w:t>
            </w:r>
          </w:p>
        </w:tc>
        <w:tc>
          <w:tcPr>
            <w:tcW w:type="dxa" w:w="21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In-line with AI infrastructure peers; below GPU-pure plays</w:t>
            </w:r>
          </w:p>
        </w:tc>
      </w:tr>
      <w:tr>
        <w:tc>
          <w:tcPr>
            <w:tcW w:type="dxa" w:w="28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EV/EBITDA</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~19x</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~15x FY27E est.</w:t>
            </w:r>
          </w:p>
        </w:tc>
        <w:tc>
          <w:tcPr>
            <w:tcW w:type="dxa" w:w="21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Re-rating justified; historically 8-12x for Dell hardware</w:t>
            </w:r>
          </w:p>
        </w:tc>
      </w:tr>
      <w:tr>
        <w:tc>
          <w:tcPr>
            <w:tcW w:type="dxa" w:w="28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ISG Op. Margin</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~10.7%</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Target &gt;12% LT</w:t>
            </w:r>
          </w:p>
        </w:tc>
        <w:tc>
          <w:tcPr>
            <w:tcW w:type="dxa" w:w="21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GPU mix headwind; storage/services attach key to expansion</w:t>
            </w:r>
          </w:p>
        </w:tc>
      </w:tr>
      <w:tr>
        <w:tc>
          <w:tcPr>
            <w:tcW w:type="dxa" w:w="2800"/>
            <w:tcBorders>
              <w:top w:val="single" w:color="D0D6DF" w:sz="1"/>
              <w:left w:val="single" w:color="D0D6DF" w:sz="1"/>
              <w:bottom w:val="single" w:color="D0D6DF" w:sz="1"/>
              <w:right w:val="single" w:color="D0D6DF" w:sz="1"/>
            </w:tcBorders>
            <w:shd w:fill="F2F4F7"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AI Backlog Coverage</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val="false"/>
                <w:bCs w:val="false"/>
                <w:color w:val="000000"/>
                <w:sz w:val="18"/>
                <w:szCs w:val="18"/>
              </w:rPr>
              <w:t xml:space="preserve">3.2x qtr</w:t>
            </w:r>
          </w:p>
        </w:tc>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w:t>
            </w:r>
          </w:p>
        </w:tc>
        <w:tc>
          <w:tcPr>
            <w:tcW w:type="dxa" w:w="21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5A6478"/>
                <w:sz w:val="18"/>
                <w:szCs w:val="18"/>
              </w:rPr>
              <w:t xml:space="preserve">~$51B backlog / ~$16B Q1 AI server run-rate</w:t>
            </w:r>
          </w:p>
        </w:tc>
      </w:tr>
    </w:tbl>
    <w:p>
      <w:pPr>
        <w:spacing w:after="80" w:before="0"/>
        <w:jc w:val="left"/>
      </w:pPr>
      <w:r>
        <w:rPr>
          <w:rFonts w:ascii="Arial" w:cs="Arial" w:eastAsia="Arial" w:hAnsi="Arial"/>
          <w:b w:val="false"/>
          <w:bCs w:val="false"/>
          <w:i w:val="false"/>
          <w:iCs w:val="false"/>
          <w:color w:val="000000"/>
          <w:sz w:val="20"/>
          <w:szCs w:val="20"/>
        </w:rPr>
        <w:t xml:space="preserve"/>
      </w:r>
    </w:p>
    <w:p>
      <w:pPr>
        <w:spacing w:after="60" w:before="0"/>
        <w:jc w:val="left"/>
      </w:pPr>
      <w:r>
        <w:rPr>
          <w:rFonts w:ascii="Arial" w:cs="Arial" w:eastAsia="Arial" w:hAnsi="Arial"/>
          <w:b w:val="false"/>
          <w:bCs w:val="false"/>
          <w:i w:val="false"/>
          <w:iCs w:val="false"/>
          <w:color w:val="000000"/>
          <w:sz w:val="20"/>
          <w:szCs w:val="20"/>
        </w:rPr>
        <w:t xml:space="preserve">At ~35x forward non-GAAP P/E, Dell is no longer a value stock. The re-rating from its historical 8-12x hardware multiple to a 30-35x AI infrastructure multiple is the central debate. The bull case argues this multiple is sustainable — and compresses further on earnings — as revenue grows into it. The bear case (UBS) holds that software-like multiples require software-like margins, and Dell's GPU-intensive cost structure limits long-run margin expansion.</w:t>
      </w:r>
    </w:p>
    <w:p>
      <w:pPr>
        <w:spacing w:after="80" w:before="0"/>
        <w:jc w:val="left"/>
      </w:pPr>
      <w:r>
        <w:rPr>
          <w:rFonts w:ascii="Arial" w:cs="Arial" w:eastAsia="Arial" w:hAnsi="Arial"/>
          <w:b w:val="false"/>
          <w:bCs w:val="false"/>
          <w:i w:val="false"/>
          <w:iCs w:val="false"/>
          <w:color w:val="000000"/>
          <w:sz w:val="20"/>
          <w:szCs w:val="20"/>
        </w:rPr>
        <w:t xml:space="preserve">Our view: the 35x multiple is appropriate for a company with $51B of backlog, 88% revenue growth, and a platform ecosystem that compounds through the agentic AI cycle. On FY28E non-GAAP EPS of approximately $16 (assuming 24% growth beyond FY27 guidance), a 30x multiple supports a $480 price target — in line with consensus. The Barclays $550 target assumes $18+ FY28 EPS with multiple expansion to 30-32x, achievable if storage reaccelerates and services revenue mixes up.</w:t>
      </w:r>
    </w:p>
    <w:p>
      <w:r>
        <w:br w:type="page"/>
      </w:r>
    </w:p>
    <w:p>
      <w:pPr>
        <w:pStyle w:val="Heading1"/>
        <w:spacing w:after="100" w:before="280"/>
      </w:pPr>
      <w:r>
        <w:rPr>
          <w:rFonts w:ascii="Arial" w:cs="Arial" w:eastAsia="Arial" w:hAnsi="Arial"/>
          <w:b/>
          <w:bCs/>
          <w:color w:val="0D2340"/>
          <w:sz w:val="30"/>
          <w:szCs w:val="30"/>
        </w:rPr>
        <w:t xml:space="preserve">6. Risk Assessment Matrix</w:t>
      </w:r>
    </w:p>
    <w:p>
      <w:pPr>
        <w:pBdr>
          <w:bottom w:val="single" w:color="1A5EA8" w:sz="12" w:space="1"/>
        </w:pBd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6460"/>
      </w:tblGrid>
      <w:tr>
        <w:tc>
          <w:tcPr>
            <w:tcW w:type="dxa" w:w="20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Risk Factor</w:t>
            </w:r>
          </w:p>
        </w:tc>
        <w:tc>
          <w:tcPr>
            <w:tcW w:type="dxa" w:w="9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w:t>
            </w:r>
          </w:p>
        </w:tc>
        <w:tc>
          <w:tcPr>
            <w:tcW w:type="dxa" w:w="646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Description</w:t>
            </w:r>
          </w:p>
        </w:tc>
      </w:tr>
      <w:tr>
        <w:tc>
          <w:tcPr>
            <w:tcW w:type="dxa" w:w="20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Margin compression</w:t>
            </w:r>
          </w:p>
        </w:tc>
        <w:tc>
          <w:tcPr>
            <w:tcW w:type="dxa" w:w="900"/>
            <w:tcBorders>
              <w:top w:val="single" w:color="D0D6DF" w:sz="1"/>
              <w:left w:val="single" w:color="D0D6DF" w:sz="1"/>
              <w:bottom w:val="single" w:color="D0D6DF" w:sz="1"/>
              <w:right w:val="single" w:color="D0D6DF" w:sz="1"/>
            </w:tcBorders>
            <w:shd w:fill="FDECEA"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HIGH</w:t>
            </w:r>
          </w:p>
        </w:tc>
        <w:tc>
          <w:tcPr>
            <w:tcW w:type="dxa" w:w="64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AI servers carry lower GMs due to expensive GPU/HBM component costs. If pricing competition intensifies, blended margins could erode despite volume gains.</w:t>
            </w:r>
          </w:p>
        </w:tc>
      </w:tr>
      <w:tr>
        <w:tc>
          <w:tcPr>
            <w:tcW w:type="dxa" w:w="20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AI demand priced in</w:t>
            </w:r>
          </w:p>
        </w:tc>
        <w:tc>
          <w:tcPr>
            <w:tcW w:type="dxa" w:w="900"/>
            <w:tcBorders>
              <w:top w:val="single" w:color="D0D6DF" w:sz="1"/>
              <w:left w:val="single" w:color="D0D6DF" w:sz="1"/>
              <w:bottom w:val="single" w:color="D0D6DF" w:sz="1"/>
              <w:right w:val="single" w:color="D0D6DF" w:sz="1"/>
            </w:tcBorders>
            <w:shd w:fill="FEF9E7" w:val="clear"/>
            <w:tcMar>
              <w:top w:type="dxa" w:w="60"/>
              <w:left w:type="dxa" w:w="120"/>
              <w:bottom w:type="dxa" w:w="60"/>
              <w:right w:type="dxa" w:w="120"/>
            </w:tcMar>
            <w:vAlign w:val="center"/>
          </w:tcPr>
          <w:p>
            <w:pPr>
              <w:jc w:val="center"/>
            </w:pPr>
            <w:r>
              <w:rPr>
                <w:rFonts w:ascii="Arial" w:cs="Arial" w:eastAsia="Arial" w:hAnsi="Arial"/>
                <w:b/>
                <w:bCs/>
                <w:color w:val="D68910"/>
                <w:sz w:val="18"/>
                <w:szCs w:val="18"/>
              </w:rPr>
              <w:t xml:space="preserve">MEDIUM</w:t>
            </w:r>
          </w:p>
        </w:tc>
        <w:tc>
          <w:tcPr>
            <w:tcW w:type="dxa" w:w="64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UBS downgrade argues that the re-rating is largely complete at current levels. Multiple compression risk if AI order growth decelerates vs. elevated expectations.</w:t>
            </w:r>
          </w:p>
        </w:tc>
      </w:tr>
      <w:tr>
        <w:tc>
          <w:tcPr>
            <w:tcW w:type="dxa" w:w="20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Memory supply crunch</w:t>
            </w:r>
          </w:p>
        </w:tc>
        <w:tc>
          <w:tcPr>
            <w:tcW w:type="dxa" w:w="900"/>
            <w:tcBorders>
              <w:top w:val="single" w:color="D0D6DF" w:sz="1"/>
              <w:left w:val="single" w:color="D0D6DF" w:sz="1"/>
              <w:bottom w:val="single" w:color="D0D6DF" w:sz="1"/>
              <w:right w:val="single" w:color="D0D6DF" w:sz="1"/>
            </w:tcBorders>
            <w:shd w:fill="FEF9E7" w:val="clear"/>
            <w:tcMar>
              <w:top w:type="dxa" w:w="60"/>
              <w:left w:type="dxa" w:w="120"/>
              <w:bottom w:type="dxa" w:w="60"/>
              <w:right w:type="dxa" w:w="120"/>
            </w:tcMar>
            <w:vAlign w:val="center"/>
          </w:tcPr>
          <w:p>
            <w:pPr>
              <w:jc w:val="center"/>
            </w:pPr>
            <w:r>
              <w:rPr>
                <w:rFonts w:ascii="Arial" w:cs="Arial" w:eastAsia="Arial" w:hAnsi="Arial"/>
                <w:b/>
                <w:bCs/>
                <w:color w:val="D68910"/>
                <w:sz w:val="18"/>
                <w:szCs w:val="18"/>
              </w:rPr>
              <w:t xml:space="preserve">MEDIUM</w:t>
            </w:r>
          </w:p>
        </w:tc>
        <w:tc>
          <w:tcPr>
            <w:tcW w:type="dxa" w:w="64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HBM and DDR5 shortages are constraining server builds. If supply remains tight, Dell may miss revenue windows despite having a $51B backlog.</w:t>
            </w:r>
          </w:p>
        </w:tc>
      </w:tr>
      <w:tr>
        <w:tc>
          <w:tcPr>
            <w:tcW w:type="dxa" w:w="20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China exit costs</w:t>
            </w:r>
          </w:p>
        </w:tc>
        <w:tc>
          <w:tcPr>
            <w:tcW w:type="dxa" w:w="900"/>
            <w:tcBorders>
              <w:top w:val="single" w:color="D0D6DF" w:sz="1"/>
              <w:left w:val="single" w:color="D0D6DF" w:sz="1"/>
              <w:bottom w:val="single" w:color="D0D6DF" w:sz="1"/>
              <w:right w:val="single" w:color="D0D6DF" w:sz="1"/>
            </w:tcBorders>
            <w:shd w:fill="FEF9E7" w:val="clear"/>
            <w:tcMar>
              <w:top w:type="dxa" w:w="60"/>
              <w:left w:type="dxa" w:w="120"/>
              <w:bottom w:type="dxa" w:w="60"/>
              <w:right w:type="dxa" w:w="120"/>
            </w:tcMar>
            <w:vAlign w:val="center"/>
          </w:tcPr>
          <w:p>
            <w:pPr>
              <w:jc w:val="center"/>
            </w:pPr>
            <w:r>
              <w:rPr>
                <w:rFonts w:ascii="Arial" w:cs="Arial" w:eastAsia="Arial" w:hAnsi="Arial"/>
                <w:b/>
                <w:bCs/>
                <w:color w:val="D68910"/>
                <w:sz w:val="18"/>
                <w:szCs w:val="18"/>
              </w:rPr>
              <w:t xml:space="preserve">MEDIUM</w:t>
            </w:r>
          </w:p>
        </w:tc>
        <w:tc>
          <w:tcPr>
            <w:tcW w:type="dxa" w:w="64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Removing Chinese-made chips from all enterprise products by end of 2026 involves supply chain re-tooling, qualification delays and potential cost inflation.</w:t>
            </w:r>
          </w:p>
        </w:tc>
      </w:tr>
      <w:tr>
        <w:tc>
          <w:tcPr>
            <w:tcW w:type="dxa" w:w="20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PC cycle tail-off</w:t>
            </w:r>
          </w:p>
        </w:tc>
        <w:tc>
          <w:tcPr>
            <w:tcW w:type="dxa" w:w="900"/>
            <w:tcBorders>
              <w:top w:val="single" w:color="D0D6DF" w:sz="1"/>
              <w:left w:val="single" w:color="D0D6DF" w:sz="1"/>
              <w:bottom w:val="single" w:color="D0D6DF" w:sz="1"/>
              <w:right w:val="single" w:color="D0D6DF" w:sz="1"/>
            </w:tcBorders>
            <w:shd w:fill="E8F5ED"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LOW</w:t>
            </w:r>
          </w:p>
        </w:tc>
        <w:tc>
          <w:tcPr>
            <w:tcW w:type="dxa" w:w="64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CSG (PC/notebooks) revenue grew 17% YoY in Q1 FY27, partly on AI-PC refresh. A subsequent slowdown could weigh on consolidated margins given CSG's lower profitability vs ISG.</w:t>
            </w:r>
          </w:p>
        </w:tc>
      </w:tr>
      <w:tr>
        <w:tc>
          <w:tcPr>
            <w:tcW w:type="dxa" w:w="20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Competitive pressure</w:t>
            </w:r>
          </w:p>
        </w:tc>
        <w:tc>
          <w:tcPr>
            <w:tcW w:type="dxa" w:w="900"/>
            <w:tcBorders>
              <w:top w:val="single" w:color="D0D6DF" w:sz="1"/>
              <w:left w:val="single" w:color="D0D6DF" w:sz="1"/>
              <w:bottom w:val="single" w:color="D0D6DF" w:sz="1"/>
              <w:right w:val="single" w:color="D0D6DF" w:sz="1"/>
            </w:tcBorders>
            <w:shd w:fill="E8F5ED"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LOW</w:t>
            </w:r>
          </w:p>
        </w:tc>
        <w:tc>
          <w:tcPr>
            <w:tcW w:type="dxa" w:w="64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HPE AI server backlog is ~$5B vs Dell's $51B. Super Micro remains a low-cost challenger. However, Dell's enterprise scale and direct-sales model provide durable moat.</w:t>
            </w:r>
          </w:p>
        </w:tc>
      </w:tr>
    </w:tbl>
    <w:p>
      <w:pPr>
        <w:spacing w:after="80" w:before="0"/>
        <w:jc w:val="left"/>
      </w:pPr>
      <w:r>
        <w:rPr>
          <w:rFonts w:ascii="Arial" w:cs="Arial" w:eastAsia="Arial" w:hAnsi="Arial"/>
          <w:b w:val="false"/>
          <w:bCs w:val="false"/>
          <w:i w:val="false"/>
          <w:iCs w:val="false"/>
          <w:color w:val="000000"/>
          <w:sz w:val="20"/>
          <w:szCs w:val="20"/>
        </w:rPr>
        <w:t xml:space="preserve"/>
      </w:r>
    </w:p>
    <w:p>
      <w:pPr>
        <w:pStyle w:val="Heading1"/>
        <w:spacing w:after="100" w:before="280"/>
      </w:pPr>
      <w:r>
        <w:rPr>
          <w:rFonts w:ascii="Arial" w:cs="Arial" w:eastAsia="Arial" w:hAnsi="Arial"/>
          <w:b/>
          <w:bCs/>
          <w:color w:val="0D2340"/>
          <w:sz w:val="30"/>
          <w:szCs w:val="30"/>
        </w:rPr>
        <w:t xml:space="preserve">7. Trading Strategy &amp; Price Levels</w:t>
      </w:r>
    </w:p>
    <w:p>
      <w:pPr>
        <w:pBdr>
          <w:bottom w:val="single" w:color="1A5EA8" w:sz="12" w:space="1"/>
        </w:pBdr>
        <w:spacing w:after="80" w:before="120"/>
      </w:pPr>
    </w:p>
    <w:p>
      <w:pPr>
        <w:spacing w:after="80" w:before="0"/>
        <w:jc w:val="left"/>
      </w:pPr>
      <w:r>
        <w:rPr>
          <w:rFonts w:ascii="Arial" w:cs="Arial" w:eastAsia="Arial" w:hAnsi="Arial"/>
          <w:b w:val="false"/>
          <w:bCs w:val="false"/>
          <w:i w:val="false"/>
          <w:iCs w:val="false"/>
          <w:color w:val="000000"/>
          <w:sz w:val="20"/>
          <w:szCs w:val="20"/>
        </w:rPr>
        <w:t xml:space="preserve">For a professional trading house, we propose a tiered approach reflecting the divergent analyst views. The stock's extraordinary YTD run requires discipline on entry — opportunistic accumulation on weakness rather than momentum chasing at current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Scenario</w:t>
            </w:r>
          </w:p>
        </w:tc>
        <w:tc>
          <w:tcPr>
            <w:tcW w:type="dxa" w:w="140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Level</w:t>
            </w:r>
          </w:p>
        </w:tc>
        <w:tc>
          <w:tcPr>
            <w:tcW w:type="dxa" w:w="5760"/>
            <w:tcBorders>
              <w:top w:val="single" w:color="0D2340" w:sz="1"/>
              <w:left w:val="single" w:color="0D2340" w:sz="1"/>
              <w:bottom w:val="single" w:color="0D2340" w:sz="1"/>
              <w:right w:val="single" w:color="0D2340" w:sz="1"/>
            </w:tcBorders>
            <w:shd w:fill="0D234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Rationale</w:t>
            </w:r>
          </w:p>
        </w:tc>
      </w:tr>
      <w:tr>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Entry Zone (Aggressive)</w:t>
            </w:r>
          </w:p>
        </w:tc>
        <w:tc>
          <w:tcPr>
            <w:tcW w:type="dxa" w:w="14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0D2340"/>
                <w:sz w:val="18"/>
                <w:szCs w:val="18"/>
              </w:rPr>
              <w:t xml:space="preserve">$420 – $435</w:t>
            </w:r>
          </w:p>
        </w:tc>
        <w:tc>
          <w:tcPr>
            <w:tcW w:type="dxa" w:w="57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Pull-back toward 20-day MA / post-earnings base. Risk/reward skews favorably ahead of FY27 guidance delivery.</w:t>
            </w:r>
          </w:p>
        </w:tc>
      </w:tr>
      <w:tr>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Entry Zone (Conservative)</w:t>
            </w:r>
          </w:p>
        </w:tc>
        <w:tc>
          <w:tcPr>
            <w:tcW w:type="dxa" w:w="14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0D2340"/>
                <w:sz w:val="18"/>
                <w:szCs w:val="18"/>
              </w:rPr>
              <w:t xml:space="preserve">$390 – $405</w:t>
            </w:r>
          </w:p>
        </w:tc>
        <w:tc>
          <w:tcPr>
            <w:tcW w:type="dxa" w:w="57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Tests 50-day MA support. Would represent ~15% correction from recent high. Suitable for position builders.</w:t>
            </w:r>
          </w:p>
        </w:tc>
      </w:tr>
      <w:tr>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Stop Loss</w:t>
            </w:r>
          </w:p>
        </w:tc>
        <w:tc>
          <w:tcPr>
            <w:tcW w:type="dxa" w:w="14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C0392B"/>
                <w:sz w:val="18"/>
                <w:szCs w:val="18"/>
              </w:rPr>
              <w:t xml:space="preserve">$370</w:t>
            </w:r>
          </w:p>
        </w:tc>
        <w:tc>
          <w:tcPr>
            <w:tcW w:type="dxa" w:w="57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Below 50-day MA and key structural support. Invalidates near-term bull thesis.</w:t>
            </w:r>
          </w:p>
        </w:tc>
      </w:tr>
      <w:tr>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Target 1 (3-6M)</w:t>
            </w:r>
          </w:p>
        </w:tc>
        <w:tc>
          <w:tcPr>
            <w:tcW w:type="dxa" w:w="14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$500 – $520</w:t>
            </w:r>
          </w:p>
        </w:tc>
        <w:tc>
          <w:tcPr>
            <w:tcW w:type="dxa" w:w="57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Consensus cluster: Goldman Sachs and Mizuho PTs. Likely achieved upon Q2 FY27 beat and raised guidance.</w:t>
            </w:r>
          </w:p>
        </w:tc>
      </w:tr>
      <w:tr>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Target 2 (6-12M)</w:t>
            </w:r>
          </w:p>
        </w:tc>
        <w:tc>
          <w:tcPr>
            <w:tcW w:type="dxa" w:w="14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$550 – $580</w:t>
            </w:r>
          </w:p>
        </w:tc>
        <w:tc>
          <w:tcPr>
            <w:tcW w:type="dxa" w:w="57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Barclays bull case. Requires AI backlog conversion acceleration and margin stabilisation above 10% ISG OPM.</w:t>
            </w:r>
          </w:p>
        </w:tc>
      </w:tr>
      <w:tr>
        <w:tc>
          <w:tcPr>
            <w:tcW w:type="dxa" w:w="22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bCs/>
                <w:color w:val="0D2340"/>
                <w:sz w:val="18"/>
                <w:szCs w:val="18"/>
              </w:rPr>
              <w:t xml:space="preserve">Bull Case (12-18M)</w:t>
            </w:r>
          </w:p>
        </w:tc>
        <w:tc>
          <w:tcPr>
            <w:tcW w:type="dxa" w:w="140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center"/>
            </w:pPr>
            <w:r>
              <w:rPr>
                <w:rFonts w:ascii="Arial" w:cs="Arial" w:eastAsia="Arial" w:hAnsi="Arial"/>
                <w:b/>
                <w:bCs/>
                <w:color w:val="1A7A4A"/>
                <w:sz w:val="18"/>
                <w:szCs w:val="18"/>
              </w:rPr>
              <w:t xml:space="preserve">$620+</w:t>
            </w:r>
          </w:p>
        </w:tc>
        <w:tc>
          <w:tcPr>
            <w:tcW w:type="dxa" w:w="5760"/>
            <w:tcBorders>
              <w:top w:val="single" w:color="D0D6DF" w:sz="1"/>
              <w:left w:val="single" w:color="D0D6DF" w:sz="1"/>
              <w:bottom w:val="single" w:color="D0D6DF" w:sz="1"/>
              <w:right w:val="single" w:color="D0D6DF" w:sz="1"/>
            </w:tcBorders>
            <w:shd w:fill="FFFFFF" w:val="clear"/>
            <w:tcMar>
              <w:top w:type="dxa" w:w="60"/>
              <w:left w:type="dxa" w:w="120"/>
              <w:bottom w:type="dxa" w:w="60"/>
              <w:right w:type="dxa" w:w="120"/>
            </w:tcMar>
            <w:vAlign w:val="center"/>
          </w:tcPr>
          <w:p>
            <w:pPr>
              <w:jc w:val="left"/>
            </w:pPr>
            <w:r>
              <w:rPr>
                <w:rFonts w:ascii="Arial" w:cs="Arial" w:eastAsia="Arial" w:hAnsi="Arial"/>
                <w:b w:val="false"/>
                <w:bCs w:val="false"/>
                <w:color w:val="000000"/>
                <w:sz w:val="18"/>
                <w:szCs w:val="18"/>
              </w:rPr>
              <w:t xml:space="preserve">Assumes $20B+ quarterly AI server revenue, storage growth reacceleration, and CSG AI-PC cycle tailwind.</w:t>
            </w:r>
          </w:p>
        </w:tc>
      </w:tr>
    </w:tbl>
    <w:p>
      <w:pPr>
        <w:spacing w:after="80" w:before="0"/>
        <w:jc w:val="left"/>
      </w:pPr>
      <w:r>
        <w:rPr>
          <w:rFonts w:ascii="Arial" w:cs="Arial" w:eastAsia="Arial" w:hAnsi="Arial"/>
          <w:b w:val="false"/>
          <w:bCs w:val="false"/>
          <w:i w:val="false"/>
          <w:iCs w:val="false"/>
          <w:color w:val="000000"/>
          <w:sz w:val="20"/>
          <w:szCs w:val="20"/>
        </w:rPr>
        <w:t xml:space="preserve"/>
      </w:r>
    </w:p>
    <w:p>
      <w:pPr>
        <w:spacing w:after="40" w:before="80"/>
        <w:jc w:val="left"/>
      </w:pPr>
      <w:r>
        <w:rPr>
          <w:rFonts w:ascii="Arial" w:cs="Arial" w:eastAsia="Arial" w:hAnsi="Arial"/>
          <w:b/>
          <w:bCs/>
          <w:i w:val="false"/>
          <w:iCs w:val="false"/>
          <w:color w:val="000000"/>
          <w:sz w:val="20"/>
          <w:szCs w:val="20"/>
        </w:rPr>
        <w:t xml:space="preserve">Catalyst Calendar:</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Q2 FY2027 Earnings (~August 2026): Primary near-term catalyst. Market will scrutinise AI order growth rate vs. Q1's $24.4B, backlog trajectory, and any commentary on AI server gross margins.</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AI backlog conversion rate: Any update on $51B backlog conversion timeline (currently 3-4 quarter implied delivery window) is a pricing/volume signal.</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NVIDIA Blackwell ramp: Confirmation of B200/B300 GPU availability will determine whether Dell can sustain $16B+ quarterly AI server revenue in H2 FY27.</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Storage reacceleration: Storage grew only 8% in Q1 vs. 757% for AI servers. A recovery here (driven by AI data management demand) would structurally improve blended margins and is the upside surprise the Street has not priced.</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Agentic AI enterprise adoption metrics: Customer count, ARR from AI Factory services, and attach rates at DTW customers will be the leading indicators of platform monetisation.</w:t>
      </w:r>
    </w:p>
    <w:p>
      <w:r>
        <w:br w:type="page"/>
      </w:r>
    </w:p>
    <w:p>
      <w:pPr>
        <w:pStyle w:val="Heading1"/>
        <w:spacing w:after="100" w:before="280"/>
      </w:pPr>
      <w:r>
        <w:rPr>
          <w:rFonts w:ascii="Arial" w:cs="Arial" w:eastAsia="Arial" w:hAnsi="Arial"/>
          <w:b/>
          <w:bCs/>
          <w:color w:val="0D2340"/>
          <w:sz w:val="30"/>
          <w:szCs w:val="30"/>
        </w:rPr>
        <w:t xml:space="preserve">8. Conclusion &amp; Professional Recommendation</w:t>
      </w:r>
    </w:p>
    <w:p>
      <w:pPr>
        <w:pBdr>
          <w:bottom w:val="single" w:color="1A5EA8" w:sz="12" w:space="1"/>
        </w:pBd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2340" w:val="clear"/>
            <w:tcMar>
              <w:top w:type="dxa" w:w="200"/>
              <w:left w:type="dxa" w:w="360"/>
              <w:bottom w:type="dxa" w:w="200"/>
              <w:right w:type="dxa" w:w="360"/>
            </w:tcMar>
          </w:tcPr>
          <w:p>
            <w:pPr>
              <w:spacing w:after="60" w:before="0"/>
              <w:jc w:val="center"/>
            </w:pPr>
            <w:r>
              <w:rPr>
                <w:rFonts w:ascii="Arial" w:cs="Arial" w:eastAsia="Arial" w:hAnsi="Arial"/>
                <w:b/>
                <w:bCs/>
                <w:color w:val="4ED699"/>
                <w:sz w:val="36"/>
                <w:szCs w:val="36"/>
              </w:rPr>
              <w:t xml:space="preserve">ACCUMULATE ON WEAKNESS</w:t>
            </w:r>
          </w:p>
          <w:p>
            <w:pPr>
              <w:spacing w:after="40" w:before="0"/>
              <w:jc w:val="center"/>
            </w:pPr>
            <w:r>
              <w:rPr>
                <w:rFonts w:ascii="Arial" w:cs="Arial" w:eastAsia="Arial" w:hAnsi="Arial"/>
                <w:color w:val="A0BDD8"/>
                <w:sz w:val="20"/>
                <w:szCs w:val="20"/>
              </w:rPr>
              <w:t xml:space="preserve">12-Month Base Case PT: $500 | Bull Case: $550 | Bear Case: $350</w:t>
            </w:r>
          </w:p>
          <w:p>
            <w:pPr>
              <w:spacing w:after="0" w:before="0"/>
              <w:jc w:val="center"/>
            </w:pPr>
            <w:r>
              <w:rPr>
                <w:rFonts w:ascii="Arial" w:cs="Arial" w:eastAsia="Arial" w:hAnsi="Arial"/>
                <w:color w:val="8AAFDC"/>
                <w:sz w:val="18"/>
                <w:szCs w:val="18"/>
              </w:rPr>
              <w:t xml:space="preserve">Risk/Reward: Favourable below $435 | Neutral $435–$469 | Unfavourable above $470</w:t>
            </w:r>
          </w:p>
        </w:tc>
      </w:tr>
    </w:tbl>
    <w:p>
      <w:pPr>
        <w:spacing w:after="8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val="false"/>
          <w:bCs w:val="false"/>
          <w:i w:val="false"/>
          <w:iCs w:val="false"/>
          <w:color w:val="000000"/>
          <w:sz w:val="20"/>
          <w:szCs w:val="20"/>
        </w:rPr>
        <w:t xml:space="preserve">Dell Technologies has crossed a structural threshold. It is no longer a cyclical hardware vendor — it is the default enterprise AI infrastructure platform for on-premises and sovereign AI deployments. The $51.3 billion AI backlog, $24.4 billion Q1 order intake, 757% AI server revenue growth, and a deepening partner ecosystem with NVIDIA, Palantir, OpenAI, and Google collectively underwrite a multi-year earnings upgrade cycle.</w:t>
      </w:r>
    </w:p>
    <w:p>
      <w:pPr>
        <w:spacing w:after="80" w:before="0"/>
        <w:jc w:val="left"/>
      </w:pPr>
      <w:r>
        <w:rPr>
          <w:rFonts w:ascii="Arial" w:cs="Arial" w:eastAsia="Arial" w:hAnsi="Arial"/>
          <w:b w:val="false"/>
          <w:bCs w:val="false"/>
          <w:i w:val="false"/>
          <w:iCs w:val="false"/>
          <w:color w:val="000000"/>
          <w:sz w:val="20"/>
          <w:szCs w:val="20"/>
        </w:rPr>
        <w:t xml:space="preserve">The analyst community has broadly recognised this — 14 of 16 covering analysts rate DELL Buy or equivalent. The lone significant dissenter (UBS, Neutral, $243 PT) is not wrong on valuation principles but underestimates the compounding nature of the AI Factory platform and the pricing power embedded in a $51B backlog.</w:t>
      </w:r>
    </w:p>
    <w:p>
      <w:pPr>
        <w:spacing w:after="40" w:before="0"/>
        <w:jc w:val="left"/>
      </w:pPr>
      <w:r>
        <w:rPr>
          <w:rFonts w:ascii="Arial" w:cs="Arial" w:eastAsia="Arial" w:hAnsi="Arial"/>
          <w:b/>
          <w:bCs/>
          <w:i w:val="false"/>
          <w:iCs w:val="false"/>
          <w:color w:val="000000"/>
          <w:sz w:val="20"/>
          <w:szCs w:val="20"/>
        </w:rPr>
        <w:t xml:space="preserve">For professional trading houses, the practical recommendation is:</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Core position: Establish or maintain on pullbacks to $420-$435. Sizing should reflect the inherent multiple risk — this is a 35x name in a sector that has re-rated aggressively.</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Tactical overlay: Use any post-earnings volatility (Q2 results ~August 2026) to add exposure on weakness if the underlying order thesis remains intact.</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Hedge: Pair with a modestly sized put spread (e.g., $370/$340 put spread, 3-month expiry) to protect against a valuation de-rating scenario or unexpected AI capex slowdown by hyperscalers.</w:t>
      </w:r>
    </w:p>
    <w:p>
      <w:pPr>
        <w:pStyle w:val="ListParagraph"/>
        <w:numPr>
          <w:ilvl w:val="0"/>
          <w:numId w:val="2"/>
        </w:numPr>
        <w:spacing w:after="60" w:before="0"/>
        <w:jc w:val="left"/>
      </w:pPr>
      <w:r>
        <w:rPr>
          <w:rFonts w:ascii="Arial" w:cs="Arial" w:eastAsia="Arial" w:hAnsi="Arial"/>
          <w:b w:val="false"/>
          <w:bCs w:val="false"/>
          <w:i w:val="false"/>
          <w:iCs w:val="false"/>
          <w:color w:val="000000"/>
          <w:sz w:val="20"/>
          <w:szCs w:val="20"/>
        </w:rPr>
        <w:t xml:space="preserve">Watch: Storage segment recovery and AI server gross margin commentary are the two variables most likely to drive upside surprises to the consensus model.</w:t>
      </w:r>
    </w:p>
    <w:p>
      <w:pPr>
        <w:spacing w:after="80" w:before="0"/>
        <w:jc w:val="left"/>
      </w:pPr>
      <w:r>
        <w:rPr>
          <w:rFonts w:ascii="Arial" w:cs="Arial" w:eastAsia="Arial" w:hAnsi="Arial"/>
          <w:b w:val="false"/>
          <w:bCs w:val="false"/>
          <w:i w:val="false"/>
          <w:iCs w:val="false"/>
          <w:color w:val="000000"/>
          <w:sz w:val="20"/>
          <w:szCs w:val="20"/>
        </w:rPr>
        <w:t xml:space="preserve"/>
      </w:r>
    </w:p>
    <w:p>
      <w:pPr>
        <w:spacing w:after="80" w:before="0"/>
        <w:jc w:val="left"/>
      </w:pPr>
      <w:r>
        <w:rPr>
          <w:rFonts w:ascii="Arial" w:cs="Arial" w:eastAsia="Arial" w:hAnsi="Arial"/>
          <w:b w:val="false"/>
          <w:bCs w:val="false"/>
          <w:i/>
          <w:iCs/>
          <w:color w:val="000000"/>
          <w:sz w:val="20"/>
          <w:szCs w:val="20"/>
        </w:rPr>
        <w:t xml:space="preserve">The bottom line: Dell is not a momentum trade. It is a structural multi-year position in the AI infrastructure supercycle, with a proven management team, unmatched enterprise distribution, and the largest AI server backlog on the planet.</w:t>
      </w:r>
    </w:p>
    <w:p>
      <w:pPr>
        <w:pBdr>
          <w:bottom w:val="single" w:color="D0D6DF" w:sz="12" w:space="1"/>
        </w:pBdr>
        <w:spacing w:after="80" w:before="120"/>
      </w:pPr>
    </w:p>
    <w:p>
      <w:pPr>
        <w:spacing w:after="40" w:before="60"/>
        <w:jc w:val="left"/>
      </w:pPr>
      <w:r>
        <w:rPr>
          <w:rFonts w:ascii="Arial" w:cs="Arial" w:eastAsia="Arial" w:hAnsi="Arial"/>
          <w:b w:val="false"/>
          <w:bCs w:val="false"/>
          <w:i w:val="false"/>
          <w:iCs w:val="false"/>
          <w:color w:val="5A6478"/>
          <w:sz w:val="16"/>
          <w:szCs w:val="16"/>
        </w:rPr>
        <w:t xml:space="preserve">DISCLAIMER: This report is prepared for professional institutional investors and trading professionals only. It does not constitute investment advice, a solicitation, or an offer to buy or sell securities. All financial figures are sourced from publicly available analyst reports, company filings, and financial data services as of June 2026. Past performance is not indicative of future results. Price targets are estimates and carry inherent uncertainty. The trading house preparing this report may hold positions in DELL. All recipients should conduct their own independent due diligence.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6DF" w:sz="4" w:space="1"/>
      </w:pBdr>
      <w:tabs>
        <w:tab w:val="right" w:pos="9026"/>
      </w:tabs>
      <w:spacing w:after="0" w:before="0"/>
    </w:pPr>
    <w:r>
      <w:rPr>
        <w:rFonts w:ascii="Arial" w:cs="Arial" w:eastAsia="Arial" w:hAnsi="Arial"/>
        <w:color w:val="5A6478"/>
        <w:sz w:val="16"/>
        <w:szCs w:val="16"/>
      </w:rPr>
      <w:t xml:space="preserve">Proprietary Research  |  June 2026  |  Not for redistribution</w:t>
    </w:r>
    <w:r>
      <w:rPr>
        <w:rFonts w:ascii="Arial" w:cs="Arial" w:eastAsia="Arial" w:hAnsi="Arial"/>
        <w:color w:val="5A6478"/>
        <w:sz w:val="16"/>
        <w:szCs w:val="16"/>
      </w:rPr>
      <w:t xml:space="preserve">	Page </w:t>
    </w:r>
    <w:r>
      <w:rPr>
        <w:rFonts w:ascii="Arial" w:cs="Arial" w:eastAsia="Arial" w:hAnsi="Arial"/>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EA8" w:sz="8" w:space="1"/>
      </w:pBdr>
      <w:tabs>
        <w:tab w:val="right" w:pos="9026"/>
      </w:tabs>
      <w:spacing w:after="0" w:before="0"/>
    </w:pPr>
    <w:r>
      <w:rPr>
        <w:rFonts w:ascii="Arial" w:cs="Arial" w:eastAsia="Arial" w:hAnsi="Arial"/>
        <w:b/>
        <w:bCs/>
        <w:color w:val="0D2340"/>
        <w:sz w:val="17"/>
        <w:szCs w:val="17"/>
      </w:rPr>
      <w:t xml:space="preserve">DELL Technologies (NYSE: DELL)  |  Institutional Equity Research</w:t>
    </w:r>
    <w:r>
      <w:rPr>
        <w:rFonts w:ascii="Arial" w:cs="Arial" w:eastAsia="Arial" w:hAnsi="Arial"/>
        <w:color w:val="5A6478"/>
        <w:sz w:val="16"/>
        <w:szCs w:val="16"/>
      </w:rPr>
      <w:t xml:space="preserve">	CONFIDENTIAL — FOR PROFESSIONAL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80"/>
      <w:outlineLvl w:val="0"/>
    </w:pPr>
    <w:rPr>
      <w:rFonts w:ascii="Arial" w:cs="Arial" w:eastAsia="Arial" w:hAnsi="Arial"/>
      <w:b/>
      <w:bCs/>
      <w:color w:val="0D2340"/>
      <w:sz w:val="30"/>
      <w:szCs w:val="30"/>
    </w:rPr>
  </w:style>
  <w:style w:type="paragraph" w:styleId="Heading2">
    <w:name w:val="Heading 2"/>
    <w:basedOn w:val="Normal"/>
    <w:next w:val="Normal"/>
    <w:qFormat/>
    <w:pPr>
      <w:spacing w:after="80" w:before="200"/>
      <w:outlineLvl w:val="1"/>
    </w:pPr>
    <w:rPr>
      <w:rFonts w:ascii="Arial" w:cs="Arial" w:eastAsia="Arial" w:hAnsi="Arial"/>
      <w:b/>
      <w:bCs/>
      <w:color w:val="1A5E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2026-06-15T10:46:59.874Z</dcterms:created>
  <dcterms:modified xsi:type="dcterms:W3CDTF">2026-06-15T10:46:59.874Z</dcterms:modified>
</cp:coreProperties>
</file>

<file path=docProps/custom.xml><?xml version="1.0" encoding="utf-8"?>
<Properties xmlns="http://schemas.openxmlformats.org/officeDocument/2006/custom-properties" xmlns:vt="http://schemas.openxmlformats.org/officeDocument/2006/docPropsVTypes"/>
</file>