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Arial" w:cs="Arial" w:eastAsia="Arial" w:hAnsi="Arial"/>
          <w:b/>
          <w:bCs/>
          <w:color w:val="1E2761"/>
          <w:sz w:val="44"/>
          <w:szCs w:val="44"/>
        </w:rPr>
        <w:t xml:space="preserve">PrivacyScan 본선 Q&amp;A 답변 카드 v2</w:t>
      </w:r>
    </w:p>
    <w:p>
      <w:pPr>
        <w:spacing w:after="100"/>
        <w:jc w:val="center"/>
      </w:pPr>
      <w:r>
        <w:rPr>
          <w:rFonts w:ascii="Arial" w:cs="Arial" w:eastAsia="Arial" w:hAnsi="Arial"/>
          <w:color w:val="6B7280"/>
          <w:sz w:val="22"/>
          <w:szCs w:val="22"/>
        </w:rPr>
        <w:t xml:space="preserve">INC0GNITO 2026 아이디어톤 본선  ·  2026년 5월 8일</w:t>
      </w:r>
    </w:p>
    <w:p>
      <w:pPr>
        <w:spacing w:after="400"/>
        <w:jc w:val="center"/>
      </w:pPr>
      <w:r>
        <w:rPr>
          <w:rFonts w:ascii="Arial" w:cs="Arial" w:eastAsia="Arial" w:hAnsi="Arial"/>
          <w:color w:val="6B7280"/>
          <w:sz w:val="22"/>
          <w:szCs w:val="22"/>
        </w:rPr>
        <w:t xml:space="preserve">부천시 붉은악마  ·  김주환 · 정인겸</w:t>
      </w:r>
    </w:p>
    <w:p>
      <w:pPr>
        <w:spacing w:after="200" w:before="200"/>
      </w:pPr>
      <w:r>
        <w:rPr>
          <w:rFonts w:ascii="Arial" w:cs="Arial" w:eastAsia="Arial" w:hAnsi="Arial"/>
          <w:b/>
          <w:bCs/>
          <w:color w:val="1E2761"/>
          <w:sz w:val="28"/>
          <w:szCs w:val="28"/>
        </w:rPr>
        <w:t xml:space="preserve">발표 핵심 문장 (최소 2번 반복)</w:t>
      </w:r>
    </w:p>
    <w:p>
      <w:pPr>
        <w:spacing w:after="200"/>
      </w:pPr>
      <w:r>
        <w:rPr>
          <w:rFonts w:ascii="Arial" w:cs="Arial" w:eastAsia="Arial" w:hAnsi="Arial"/>
          <w:b/>
          <w:bCs/>
          <w:color w:val="1E2761"/>
          <w:sz w:val="22"/>
          <w:szCs w:val="22"/>
        </w:rPr>
        <w:t xml:space="preserve">"PrivacyScan은 LLM이 주관적으로 위험하다고 말하는 서비스가 아니라, 개인정보보호법·처리방침 평가 고시·KISA 작성지침을 바탕으로 만든 25개 체크리스트에 따라 점수를 계산하고, 감점 근거를 원문으로 보여주는 서비스입니다."</w:t>
      </w:r>
    </w:p>
    <w:p>
      <w:pPr>
        <w:spacing w:after="200" w:before="300"/>
      </w:pPr>
      <w:r>
        <w:rPr>
          <w:rFonts w:ascii="Arial" w:cs="Arial" w:eastAsia="Arial" w:hAnsi="Arial"/>
          <w:b/>
          <w:bCs/>
          <w:color w:val="1E2761"/>
          <w:sz w:val="28"/>
          <w:szCs w:val="28"/>
        </w:rPr>
        <w:t xml:space="preserve">사용 가이드</w:t>
      </w:r>
    </w:p>
    <w:p>
      <w:pPr>
        <w:spacing w:after="100"/>
      </w:pPr>
      <w:r>
        <w:rPr>
          <w:rFonts w:ascii="Arial" w:cs="Arial" w:eastAsia="Arial" w:hAnsi="Arial"/>
          <w:sz w:val="22"/>
          <w:szCs w:val="22"/>
        </w:rPr>
        <w:t xml:space="preserve">1. 분담 — 김주환: Q1·Q3·Q5·Q7·Q9  /  정인겸: Q2·Q4·Q6·Q8·Q10</w:t>
      </w:r>
    </w:p>
    <w:p>
      <w:pPr>
        <w:spacing w:after="100"/>
      </w:pPr>
      <w:r>
        <w:rPr>
          <w:rFonts w:ascii="Arial" w:cs="Arial" w:eastAsia="Arial" w:hAnsi="Arial"/>
          <w:sz w:val="22"/>
          <w:szCs w:val="22"/>
        </w:rPr>
        <w:t xml:space="preserve">2. 답변 시 30초 안에 핵심 수치(86.7% / 13.3% / 100% / 96% / 7.2초)를 한 번 이상 인용</w:t>
      </w:r>
    </w:p>
    <w:p>
      <w:pPr>
        <w:spacing w:after="100"/>
      </w:pPr>
      <w:r>
        <w:rPr>
          <w:rFonts w:ascii="Arial" w:cs="Arial" w:eastAsia="Arial" w:hAnsi="Arial"/>
          <w:sz w:val="22"/>
          <w:szCs w:val="22"/>
        </w:rPr>
        <w:t xml:space="preserve">3. "잘 모르겠습니다" 대신 "파일럿 단계라 ~까지 검증, 본선 이후 ~로 보완" 패턴</w:t>
      </w:r>
    </w:p>
    <w:p>
      <w:pPr>
        <w:spacing w:after="100"/>
      </w:pPr>
      <w:r>
        <w:rPr>
          <w:rFonts w:ascii="Arial" w:cs="Arial" w:eastAsia="Arial" w:hAnsi="Arial"/>
          <w:sz w:val="22"/>
          <w:szCs w:val="22"/>
        </w:rPr>
        <w:t xml:space="preserve">4. 답변 끝에 "추가 질문 있으시면" 절대 X. 자신감 있게 끊기</w:t>
      </w:r>
    </w:p>
    <w:p>
      <w:pPr>
        <w:spacing w:after="100"/>
      </w:pPr>
      <w:r>
        <w:rPr>
          <w:rFonts w:ascii="Arial" w:cs="Arial" w:eastAsia="Arial" w:hAnsi="Arial"/>
          <w:sz w:val="22"/>
          <w:szCs w:val="22"/>
        </w:rPr>
        <w:t xml:space="preserve">5. 본문에서 "약관" 대신 반드시 "개인정보처리방침" 사용 (슬로건 1줄만 예외)</w:t>
      </w:r>
    </w:p>
    <w:p>
      <w:pPr>
        <w:spacing w:after="200" w:before="300"/>
      </w:pPr>
      <w:r>
        <w:rPr>
          <w:rFonts w:ascii="Arial" w:cs="Arial" w:eastAsia="Arial" w:hAnsi="Arial"/>
          <w:b/>
          <w:bCs/>
          <w:color w:val="1E2761"/>
          <w:sz w:val="28"/>
          <w:szCs w:val="28"/>
        </w:rPr>
        <w:t xml:space="preserve">필수 암기 수치</w:t>
      </w:r>
    </w:p>
    <w:p>
      <w:pPr>
        <w:spacing w:after="80"/>
      </w:pPr>
      <w:r>
        <w:rPr>
          <w:rFonts w:ascii="Arial" w:cs="Arial" w:eastAsia="Arial" w:hAnsi="Arial"/>
          <w:b/>
          <w:bCs/>
          <w:color w:val="991B1B"/>
          <w:sz w:val="22"/>
          <w:szCs w:val="22"/>
        </w:rPr>
        <w:t xml:space="preserve">정탐률 86.7%</w:t>
      </w:r>
      <w:r>
        <w:rPr>
          <w:rFonts w:ascii="Arial" w:cs="Arial" w:eastAsia="Arial" w:hAnsi="Arial"/>
          <w:sz w:val="22"/>
          <w:szCs w:val="22"/>
        </w:rPr>
        <w:t xml:space="preserve">  (30개 위험 후보 조항 中 26개 탐지)</w:t>
      </w:r>
    </w:p>
    <w:p>
      <w:pPr>
        <w:spacing w:after="80"/>
      </w:pPr>
      <w:r>
        <w:rPr>
          <w:rFonts w:ascii="Arial" w:cs="Arial" w:eastAsia="Arial" w:hAnsi="Arial"/>
          <w:b/>
          <w:bCs/>
          <w:color w:val="991B1B"/>
          <w:sz w:val="22"/>
          <w:szCs w:val="22"/>
        </w:rPr>
        <w:t xml:space="preserve">오탐률 13.3%</w:t>
      </w:r>
      <w:r>
        <w:rPr>
          <w:rFonts w:ascii="Arial" w:cs="Arial" w:eastAsia="Arial" w:hAnsi="Arial"/>
          <w:sz w:val="22"/>
          <w:szCs w:val="22"/>
        </w:rPr>
        <w:t xml:space="preserve">  (30개 中 4개 과탐지, 대부분 법정보관 조항)</w:t>
      </w:r>
    </w:p>
    <w:p>
      <w:pPr>
        <w:spacing w:after="80"/>
      </w:pPr>
      <w:r>
        <w:rPr>
          <w:rFonts w:ascii="Arial" w:cs="Arial" w:eastAsia="Arial" w:hAnsi="Arial"/>
          <w:b/>
          <w:bCs/>
          <w:color w:val="991B1B"/>
          <w:sz w:val="22"/>
          <w:szCs w:val="22"/>
        </w:rPr>
        <w:t xml:space="preserve">근거 표시율 100%</w:t>
      </w:r>
      <w:r>
        <w:rPr>
          <w:rFonts w:ascii="Arial" w:cs="Arial" w:eastAsia="Arial" w:hAnsi="Arial"/>
          <w:sz w:val="22"/>
          <w:szCs w:val="22"/>
        </w:rPr>
        <w:t xml:space="preserve">  (탐지된 위험 조항 21개 全건 원문 첨부)</w:t>
      </w:r>
    </w:p>
    <w:p>
      <w:pPr>
        <w:spacing w:after="80"/>
      </w:pPr>
      <w:r>
        <w:rPr>
          <w:rFonts w:ascii="Arial" w:cs="Arial" w:eastAsia="Arial" w:hAnsi="Arial"/>
          <w:b/>
          <w:bCs/>
          <w:color w:val="991B1B"/>
          <w:sz w:val="22"/>
          <w:szCs w:val="22"/>
        </w:rPr>
        <w:t xml:space="preserve">평가자 일치율 96%</w:t>
      </w:r>
      <w:r>
        <w:rPr>
          <w:rFonts w:ascii="Arial" w:cs="Arial" w:eastAsia="Arial" w:hAnsi="Arial"/>
          <w:sz w:val="22"/>
          <w:szCs w:val="22"/>
        </w:rPr>
        <w:t xml:space="preserve">  (허용오차 1점 반영 파일럿 재현성 지표)</w:t>
      </w:r>
    </w:p>
    <w:p>
      <w:pPr>
        <w:spacing w:after="80"/>
      </w:pPr>
      <w:r>
        <w:rPr>
          <w:rFonts w:ascii="Arial" w:cs="Arial" w:eastAsia="Arial" w:hAnsi="Arial"/>
          <w:b/>
          <w:bCs/>
          <w:color w:val="991B1B"/>
          <w:sz w:val="22"/>
          <w:szCs w:val="22"/>
        </w:rPr>
        <w:t xml:space="preserve">처리시간 7.2초</w:t>
      </w:r>
      <w:r>
        <w:rPr>
          <w:rFonts w:ascii="Arial" w:cs="Arial" w:eastAsia="Arial" w:hAnsi="Arial"/>
          <w:sz w:val="22"/>
          <w:szCs w:val="22"/>
        </w:rPr>
        <w:t xml:space="preserve">  (5서비스×3회=15회, p95 9.8초)</w:t>
      </w:r>
    </w:p>
    <w:p>
      <w:pPr>
        <w:spacing w:after="200" w:before="300"/>
      </w:pPr>
      <w:r>
        <w:rPr>
          <w:rFonts w:ascii="Arial" w:cs="Arial" w:eastAsia="Arial" w:hAnsi="Arial"/>
          <w:b/>
          <w:bCs/>
          <w:color w:val="1E2761"/>
          <w:sz w:val="28"/>
          <w:szCs w:val="28"/>
        </w:rPr>
        <w:t xml:space="preserve">표현 톤다운 체크리스트 (발표 중 절대 사용 X)</w:t>
      </w:r>
    </w:p>
    <w:p>
      <w:pPr>
        <w:spacing w:after="80"/>
      </w:pPr>
      <w:r>
        <w:rPr>
          <w:rFonts w:ascii="Arial" w:cs="Arial" w:eastAsia="Arial" w:hAnsi="Arial"/>
          <w:b/>
          <w:bCs/>
          <w:color w:val="991B1B"/>
          <w:sz w:val="22"/>
          <w:szCs w:val="22"/>
        </w:rPr>
        <w:t xml:space="preserve">X  </w:t>
      </w:r>
      <w:r>
        <w:rPr>
          <w:rFonts w:ascii="Arial" w:cs="Arial" w:eastAsia="Arial" w:hAnsi="Arial"/>
          <w:sz w:val="22"/>
          <w:szCs w:val="22"/>
        </w:rPr>
        <w:t xml:space="preserve">"국내 유일"  →  </w:t>
      </w:r>
      <w:r>
        <w:rPr>
          <w:rFonts w:ascii="Arial" w:cs="Arial" w:eastAsia="Arial" w:hAnsi="Arial"/>
          <w:b/>
          <w:bCs/>
          <w:sz w:val="22"/>
          <w:szCs w:val="22"/>
        </w:rPr>
        <w:t xml:space="preserve">"비교군 내 차별적 조합"</w:t>
      </w:r>
    </w:p>
    <w:p>
      <w:pPr>
        <w:spacing w:after="80"/>
      </w:pPr>
      <w:r>
        <w:rPr>
          <w:rFonts w:ascii="Arial" w:cs="Arial" w:eastAsia="Arial" w:hAnsi="Arial"/>
          <w:b/>
          <w:bCs/>
          <w:color w:val="991B1B"/>
          <w:sz w:val="22"/>
          <w:szCs w:val="22"/>
        </w:rPr>
        <w:t xml:space="preserve">X  </w:t>
      </w:r>
      <w:r>
        <w:rPr>
          <w:rFonts w:ascii="Arial" w:cs="Arial" w:eastAsia="Arial" w:hAnsi="Arial"/>
          <w:sz w:val="22"/>
          <w:szCs w:val="22"/>
        </w:rPr>
        <w:t xml:space="preserve">"위법 기업"·"불법 제공"  →  </w:t>
      </w:r>
      <w:r>
        <w:rPr>
          <w:rFonts w:ascii="Arial" w:cs="Arial" w:eastAsia="Arial" w:hAnsi="Arial"/>
          <w:b/>
          <w:bCs/>
          <w:sz w:val="22"/>
          <w:szCs w:val="22"/>
        </w:rPr>
        <w:t xml:space="preserve">"고지 위험 신호"</w:t>
      </w:r>
    </w:p>
    <w:p>
      <w:pPr>
        <w:spacing w:after="80"/>
      </w:pPr>
      <w:r>
        <w:rPr>
          <w:rFonts w:ascii="Arial" w:cs="Arial" w:eastAsia="Arial" w:hAnsi="Arial"/>
          <w:b/>
          <w:bCs/>
          <w:color w:val="991B1B"/>
          <w:sz w:val="22"/>
          <w:szCs w:val="22"/>
        </w:rPr>
        <w:t xml:space="preserve">X  </w:t>
      </w:r>
      <w:r>
        <w:rPr>
          <w:rFonts w:ascii="Arial" w:cs="Arial" w:eastAsia="Arial" w:hAnsi="Arial"/>
          <w:sz w:val="22"/>
          <w:szCs w:val="22"/>
        </w:rPr>
        <w:t xml:space="preserve">"강제"·"사실상 필수"  →  </w:t>
      </w:r>
      <w:r>
        <w:rPr>
          <w:rFonts w:ascii="Arial" w:cs="Arial" w:eastAsia="Arial" w:hAnsi="Arial"/>
          <w:b/>
          <w:bCs/>
          <w:sz w:val="22"/>
          <w:szCs w:val="22"/>
        </w:rPr>
        <w:t xml:space="preserve">"사실상 제한 가능성"</w:t>
      </w:r>
    </w:p>
    <w:p>
      <w:pPr>
        <w:spacing w:after="80"/>
      </w:pPr>
      <w:r>
        <w:rPr>
          <w:rFonts w:ascii="Arial" w:cs="Arial" w:eastAsia="Arial" w:hAnsi="Arial"/>
          <w:b/>
          <w:bCs/>
          <w:color w:val="991B1B"/>
          <w:sz w:val="22"/>
          <w:szCs w:val="22"/>
        </w:rPr>
        <w:t xml:space="preserve">X  </w:t>
      </w:r>
      <w:r>
        <w:rPr>
          <w:rFonts w:ascii="Arial" w:cs="Arial" w:eastAsia="Arial" w:hAnsi="Arial"/>
          <w:sz w:val="22"/>
          <w:szCs w:val="22"/>
        </w:rPr>
        <w:t xml:space="preserve">"약관"  →  </w:t>
      </w:r>
      <w:r>
        <w:rPr>
          <w:rFonts w:ascii="Arial" w:cs="Arial" w:eastAsia="Arial" w:hAnsi="Arial"/>
          <w:b/>
          <w:bCs/>
          <w:sz w:val="22"/>
          <w:szCs w:val="22"/>
        </w:rPr>
        <w:t xml:space="preserve">"개인정보처리방침"</w:t>
      </w:r>
    </w:p>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CADCFC" w:sz="4"/>
              <w:left w:val="single" w:color="CADCFC" w:sz="4"/>
              <w:bottom w:val="single" w:color="CADCFC" w:sz="4"/>
              <w:right w:val="single" w:color="CADCFC" w:sz="4"/>
            </w:tcBorders>
            <w:shd w:fill="1E276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PrivacyScan 본선 Q&amp;A 답변 카드 v2  ·  부천시 붉은악마  ·  김주환·정인겸</w:t>
            </w:r>
          </w:p>
        </w:tc>
      </w:tr>
      <w:tr>
        <w:tc>
          <w:tcPr>
            <w:tcW w:type="dxa" w:w="14400"/>
            <w:tcBorders>
              <w:top w:val="single" w:color="CADCFC" w:sz="4"/>
              <w:left w:val="single" w:color="CADCFC" w:sz="4"/>
              <w:bottom w:val="single" w:color="CADCFC" w:sz="4"/>
              <w:right w:val="single" w:color="CADCFC" w:sz="4"/>
            </w:tcBorders>
            <w:shd w:fill="FFFBEB" w:val="clear"/>
            <w:tcMar>
              <w:top w:type="dxa" w:w="100"/>
              <w:left w:type="dxa" w:w="140"/>
              <w:bottom w:type="dxa" w:w="100"/>
              <w:right w:type="dxa" w:w="140"/>
            </w:tcMar>
          </w:tcPr>
          <w:p>
            <w:r>
              <w:rPr>
                <w:rFonts w:ascii="Arial" w:cs="Arial" w:eastAsia="Arial" w:hAnsi="Arial"/>
                <w:b/>
                <w:bCs/>
                <w:color w:val="1E2761"/>
                <w:sz w:val="28"/>
                <w:szCs w:val="28"/>
              </w:rPr>
              <w:t xml:space="preserve">Q1</w:t>
            </w:r>
            <w:r>
              <w:rPr>
                <w:rFonts w:ascii="Arial" w:cs="Arial" w:eastAsia="Arial" w:hAnsi="Arial"/>
                <w:b/>
                <w:bCs/>
                <w:color w:val="B8860B"/>
                <w:sz w:val="16"/>
                <w:szCs w:val="16"/>
              </w:rPr>
              <w:t xml:space="preserve">  검증 데이터 단위  (가장 위험)</w:t>
            </w:r>
          </w:p>
          <w:p>
            <w:pPr>
              <w:spacing w:before="100"/>
            </w:pPr>
            <w:r>
              <w:rPr>
                <w:rFonts w:ascii="Arial" w:cs="Arial" w:eastAsia="Arial" w:hAnsi="Arial"/>
                <w:b/>
                <w:bCs/>
                <w:color w:val="111827"/>
                <w:sz w:val="22"/>
                <w:szCs w:val="22"/>
              </w:rPr>
              <w:t xml:space="preserve">정탐률 86.7%, 오탐률 13.3%에서 30개는 정확히 무엇입니까?</w:t>
            </w:r>
          </w:p>
        </w:tc>
      </w:tr>
      <w:tr>
        <w:tc>
          <w:tcPr>
            <w:tcW w:type="dxa" w:w="14400"/>
            <w:tcBorders>
              <w:top w:val="single" w:color="CADCFC" w:sz="4"/>
              <w:left w:val="single" w:color="CADCFC" w:sz="4"/>
              <w:bottom w:val="single" w:color="CADCFC" w:sz="4"/>
              <w:right w:val="single" w:color="CADCFC" w:sz="4"/>
            </w:tcBorders>
            <w:shd w:fill="FFFFFF" w:val="clear"/>
            <w:tcMar>
              <w:top w:type="dxa" w:w="120"/>
              <w:left w:type="dxa" w:w="140"/>
              <w:bottom w:type="dxa" w:w="120"/>
              <w:right w:type="dxa" w:w="140"/>
            </w:tcMar>
          </w:tcPr>
          <w:p>
            <w:r>
              <w:rPr>
                <w:rFonts w:ascii="Arial" w:cs="Arial" w:eastAsia="Arial" w:hAnsi="Arial"/>
                <w:b/>
                <w:bCs/>
                <w:color w:val="B8860B"/>
                <w:sz w:val="16"/>
                <w:szCs w:val="16"/>
              </w:rPr>
              <w:t xml:space="preserve">▸ 모범 답안</w:t>
            </w:r>
          </w:p>
          <w:p>
            <w:pPr>
              <w:spacing w:before="100"/>
            </w:pPr>
            <w:r>
              <w:rPr>
                <w:rFonts w:ascii="Arial" w:cs="Arial" w:eastAsia="Arial" w:hAnsi="Arial"/>
                <w:color w:val="111827"/>
                <w:sz w:val="20"/>
                <w:szCs w:val="20"/>
              </w:rPr>
              <w:t xml:space="preserve">30개 샘플은 7개 서비스의 개인정보처리방침에서 추출한 위험 후보 조항입니다. 팀원 2인이 개인정보보호법·처리방침 평가 고시·KISA 작성지침 기준으로 독립 라벨링했으며, 26개를 정탐, 4개를 과탐지로 분류했습니다.</w:t>
            </w:r>
          </w:p>
        </w:tc>
      </w:tr>
      <w:tr>
        <w:tc>
          <w:tcPr>
            <w:tcW w:type="dxa" w:w="14400"/>
            <w:tcBorders>
              <w:top w:val="single" w:color="CADCFC" w:sz="4"/>
              <w:left w:val="single" w:color="CADCFC" w:sz="4"/>
              <w:bottom w:val="single" w:color="CADCFC" w:sz="4"/>
              <w:right w:val="single" w:color="CADCFC" w:sz="4"/>
            </w:tcBorders>
            <w:shd w:fill="FFFBEB" w:val="clear"/>
            <w:tcMar>
              <w:top w:type="dxa" w:w="100"/>
              <w:left w:type="dxa" w:w="140"/>
              <w:bottom w:type="dxa" w:w="100"/>
              <w:right w:type="dxa" w:w="140"/>
            </w:tcMar>
          </w:tcPr>
          <w:p>
            <w:r>
              <w:rPr>
                <w:rFonts w:ascii="Arial" w:cs="Arial" w:eastAsia="Arial" w:hAnsi="Arial"/>
                <w:b/>
                <w:bCs/>
                <w:color w:val="1E2761"/>
                <w:sz w:val="28"/>
                <w:szCs w:val="28"/>
              </w:rPr>
              <w:t xml:space="preserve">Q2</w:t>
            </w:r>
            <w:r>
              <w:rPr>
                <w:rFonts w:ascii="Arial" w:cs="Arial" w:eastAsia="Arial" w:hAnsi="Arial"/>
                <w:b/>
                <w:bCs/>
                <w:color w:val="B8860B"/>
                <w:sz w:val="16"/>
                <w:szCs w:val="16"/>
              </w:rPr>
              <w:t xml:space="preserve">  라벨 생성 주체</w:t>
            </w:r>
          </w:p>
          <w:p>
            <w:pPr>
              <w:spacing w:before="100"/>
            </w:pPr>
            <w:r>
              <w:rPr>
                <w:rFonts w:ascii="Arial" w:cs="Arial" w:eastAsia="Arial" w:hAnsi="Arial"/>
                <w:b/>
                <w:bCs/>
                <w:color w:val="111827"/>
                <w:sz w:val="22"/>
                <w:szCs w:val="22"/>
              </w:rPr>
              <w:t xml:space="preserve">정답 라벨은 누가 만들었습니까? 법률전문가가 검토했나요?</w:t>
            </w:r>
          </w:p>
        </w:tc>
      </w:tr>
      <w:tr>
        <w:tc>
          <w:tcPr>
            <w:tcW w:type="dxa" w:w="14400"/>
            <w:tcBorders>
              <w:top w:val="single" w:color="CADCFC" w:sz="4"/>
              <w:left w:val="single" w:color="CADCFC" w:sz="4"/>
              <w:bottom w:val="single" w:color="CADCFC" w:sz="4"/>
              <w:right w:val="single" w:color="CADCFC" w:sz="4"/>
            </w:tcBorders>
            <w:shd w:fill="FFFFFF" w:val="clear"/>
            <w:tcMar>
              <w:top w:type="dxa" w:w="120"/>
              <w:left w:type="dxa" w:w="140"/>
              <w:bottom w:type="dxa" w:w="120"/>
              <w:right w:type="dxa" w:w="140"/>
            </w:tcMar>
          </w:tcPr>
          <w:p>
            <w:r>
              <w:rPr>
                <w:rFonts w:ascii="Arial" w:cs="Arial" w:eastAsia="Arial" w:hAnsi="Arial"/>
                <w:b/>
                <w:bCs/>
                <w:color w:val="B8860B"/>
                <w:sz w:val="16"/>
                <w:szCs w:val="16"/>
              </w:rPr>
              <w:t xml:space="preserve">▸ 모범 답안</w:t>
            </w:r>
          </w:p>
          <w:p>
            <w:pPr>
              <w:spacing w:before="100"/>
            </w:pPr>
            <w:r>
              <w:rPr>
                <w:rFonts w:ascii="Arial" w:cs="Arial" w:eastAsia="Arial" w:hAnsi="Arial"/>
                <w:color w:val="111827"/>
                <w:sz w:val="20"/>
                <w:szCs w:val="20"/>
              </w:rPr>
              <w:t xml:space="preserve">법률전문가 라벨이 아닌 팀 2인 독립 라벨링 기반 파일럿 라벨입니다. 그래서 이 수치를 법적 정확도가 아니라 체크리스트 기준 재현성 지표로 제시합니다. 본선 이후 전문가 검토를 통해 보완할 계획입니다.</w:t>
            </w:r>
          </w:p>
        </w:tc>
      </w:tr>
      <w:tr>
        <w:tc>
          <w:tcPr>
            <w:tcW w:type="dxa" w:w="14400"/>
            <w:tcBorders>
              <w:top w:val="single" w:color="CADCFC" w:sz="4"/>
              <w:left w:val="single" w:color="CADCFC" w:sz="4"/>
              <w:bottom w:val="single" w:color="CADCFC" w:sz="4"/>
              <w:right w:val="single" w:color="CADCFC" w:sz="4"/>
            </w:tcBorders>
            <w:shd w:fill="FFFBEB" w:val="clear"/>
            <w:tcMar>
              <w:top w:type="dxa" w:w="100"/>
              <w:left w:type="dxa" w:w="140"/>
              <w:bottom w:type="dxa" w:w="100"/>
              <w:right w:type="dxa" w:w="140"/>
            </w:tcMar>
          </w:tcPr>
          <w:p>
            <w:r>
              <w:rPr>
                <w:rFonts w:ascii="Arial" w:cs="Arial" w:eastAsia="Arial" w:hAnsi="Arial"/>
                <w:b/>
                <w:bCs/>
                <w:color w:val="1E2761"/>
                <w:sz w:val="28"/>
                <w:szCs w:val="28"/>
              </w:rPr>
              <w:t xml:space="preserve">Q3</w:t>
            </w:r>
            <w:r>
              <w:rPr>
                <w:rFonts w:ascii="Arial" w:cs="Arial" w:eastAsia="Arial" w:hAnsi="Arial"/>
                <w:b/>
                <w:bCs/>
                <w:color w:val="B8860B"/>
                <w:sz w:val="16"/>
                <w:szCs w:val="16"/>
              </w:rPr>
              <w:t xml:space="preserve">  평가자 일치율 산식</w:t>
            </w:r>
          </w:p>
          <w:p>
            <w:pPr>
              <w:spacing w:before="100"/>
            </w:pPr>
            <w:r>
              <w:rPr>
                <w:rFonts w:ascii="Arial" w:cs="Arial" w:eastAsia="Arial" w:hAnsi="Arial"/>
                <w:b/>
                <w:bCs/>
                <w:color w:val="111827"/>
                <w:sz w:val="22"/>
                <w:szCs w:val="22"/>
              </w:rPr>
              <w:t xml:space="preserve">평가자 일치율 96%는 완전일치율입니까, 허용오차 반영입니까?</w:t>
            </w:r>
          </w:p>
        </w:tc>
      </w:tr>
      <w:tr>
        <w:tc>
          <w:tcPr>
            <w:tcW w:type="dxa" w:w="14400"/>
            <w:tcBorders>
              <w:top w:val="single" w:color="CADCFC" w:sz="4"/>
              <w:left w:val="single" w:color="CADCFC" w:sz="4"/>
              <w:bottom w:val="single" w:color="CADCFC" w:sz="4"/>
              <w:right w:val="single" w:color="CADCFC" w:sz="4"/>
            </w:tcBorders>
            <w:shd w:fill="FFFFFF" w:val="clear"/>
            <w:tcMar>
              <w:top w:type="dxa" w:w="120"/>
              <w:left w:type="dxa" w:w="140"/>
              <w:bottom w:type="dxa" w:w="120"/>
              <w:right w:type="dxa" w:w="140"/>
            </w:tcMar>
          </w:tcPr>
          <w:p>
            <w:r>
              <w:rPr>
                <w:rFonts w:ascii="Arial" w:cs="Arial" w:eastAsia="Arial" w:hAnsi="Arial"/>
                <w:b/>
                <w:bCs/>
                <w:color w:val="B8860B"/>
                <w:sz w:val="16"/>
                <w:szCs w:val="16"/>
              </w:rPr>
              <w:t xml:space="preserve">▸ 모범 답안</w:t>
            </w:r>
          </w:p>
          <w:p>
            <w:pPr>
              <w:spacing w:before="100"/>
            </w:pPr>
            <w:r>
              <w:rPr>
                <w:rFonts w:ascii="Arial" w:cs="Arial" w:eastAsia="Arial" w:hAnsi="Arial"/>
                <w:color w:val="111827"/>
                <w:sz w:val="20"/>
                <w:szCs w:val="20"/>
              </w:rPr>
              <w:t xml:space="preserve">허용오차 1점 반영 파일럿 재현성 지표입니다. 완전일치율과 허용오차 반영 일치율은 구분되어야 하며, 본선 이후 Cohen's kappa 같은 보정 지표를 추가해 우연 일치 가능성도 제거하겠습니다.</w:t>
            </w:r>
          </w:p>
        </w:tc>
      </w:tr>
      <w:tr>
        <w:tc>
          <w:tcPr>
            <w:tcW w:type="dxa" w:w="14400"/>
            <w:tcBorders>
              <w:top w:val="single" w:color="CADCFC" w:sz="4"/>
              <w:left w:val="single" w:color="CADCFC" w:sz="4"/>
              <w:bottom w:val="single" w:color="CADCFC" w:sz="4"/>
              <w:right w:val="single" w:color="CADCFC" w:sz="4"/>
            </w:tcBorders>
            <w:shd w:fill="FFFBEB" w:val="clear"/>
            <w:tcMar>
              <w:top w:type="dxa" w:w="100"/>
              <w:left w:type="dxa" w:w="140"/>
              <w:bottom w:type="dxa" w:w="100"/>
              <w:right w:type="dxa" w:w="140"/>
            </w:tcMar>
          </w:tcPr>
          <w:p>
            <w:r>
              <w:rPr>
                <w:rFonts w:ascii="Arial" w:cs="Arial" w:eastAsia="Arial" w:hAnsi="Arial"/>
                <w:b/>
                <w:bCs/>
                <w:color w:val="1E2761"/>
                <w:sz w:val="28"/>
                <w:szCs w:val="28"/>
              </w:rPr>
              <w:t xml:space="preserve">Q4</w:t>
            </w:r>
            <w:r>
              <w:rPr>
                <w:rFonts w:ascii="Arial" w:cs="Arial" w:eastAsia="Arial" w:hAnsi="Arial"/>
                <w:b/>
                <w:bCs/>
                <w:color w:val="B8860B"/>
                <w:sz w:val="16"/>
                <w:szCs w:val="16"/>
              </w:rPr>
              <w:t xml:space="preserve">  법적 표현 리스크</w:t>
            </w:r>
          </w:p>
          <w:p>
            <w:pPr>
              <w:spacing w:before="100"/>
            </w:pPr>
            <w:r>
              <w:rPr>
                <w:rFonts w:ascii="Arial" w:cs="Arial" w:eastAsia="Arial" w:hAnsi="Arial"/>
                <w:b/>
                <w:bCs/>
                <w:color w:val="111827"/>
                <w:sz w:val="22"/>
                <w:szCs w:val="22"/>
              </w:rPr>
              <w:t xml:space="preserve">75점 이상 "매우위험"이 법 위반 기업이라는 인상을 주지 않나요?</w:t>
            </w:r>
          </w:p>
        </w:tc>
      </w:tr>
      <w:tr>
        <w:tc>
          <w:tcPr>
            <w:tcW w:type="dxa" w:w="14400"/>
            <w:tcBorders>
              <w:top w:val="single" w:color="CADCFC" w:sz="4"/>
              <w:left w:val="single" w:color="CADCFC" w:sz="4"/>
              <w:bottom w:val="single" w:color="CADCFC" w:sz="4"/>
              <w:right w:val="single" w:color="CADCFC" w:sz="4"/>
            </w:tcBorders>
            <w:shd w:fill="FFFFFF" w:val="clear"/>
            <w:tcMar>
              <w:top w:type="dxa" w:w="120"/>
              <w:left w:type="dxa" w:w="140"/>
              <w:bottom w:type="dxa" w:w="120"/>
              <w:right w:type="dxa" w:w="140"/>
            </w:tcMar>
          </w:tcPr>
          <w:p>
            <w:r>
              <w:rPr>
                <w:rFonts w:ascii="Arial" w:cs="Arial" w:eastAsia="Arial" w:hAnsi="Arial"/>
                <w:b/>
                <w:bCs/>
                <w:color w:val="B8860B"/>
                <w:sz w:val="16"/>
                <w:szCs w:val="16"/>
              </w:rPr>
              <w:t xml:space="preserve">▸ 모범 답안</w:t>
            </w:r>
          </w:p>
          <w:p>
            <w:pPr>
              <w:spacing w:before="100"/>
            </w:pPr>
            <w:r>
              <w:rPr>
                <w:rFonts w:ascii="Arial" w:cs="Arial" w:eastAsia="Arial" w:hAnsi="Arial"/>
                <w:color w:val="111827"/>
                <w:sz w:val="20"/>
                <w:szCs w:val="20"/>
              </w:rPr>
              <w:t xml:space="preserve">그래서 슬라이드 6에 면책 문구를 명시했습니다. PrivacyScan은 법적 자문을 대체하지 않고 법적 효력 없는 참고 지표입니다. 점수는 위법 판정이 아니라 처리방침 문서상 고지 부족·포괄 표현·권리 안내 미흡 같은 고지 위험 신호를 나타냅니다.</w:t>
            </w:r>
          </w:p>
        </w:tc>
      </w:tr>
      <w:tr>
        <w:tc>
          <w:tcPr>
            <w:tcW w:type="dxa" w:w="14400"/>
            <w:tcBorders>
              <w:top w:val="single" w:color="CADCFC" w:sz="4"/>
              <w:left w:val="single" w:color="CADCFC" w:sz="4"/>
              <w:bottom w:val="single" w:color="CADCFC" w:sz="4"/>
              <w:right w:val="single" w:color="CADCFC" w:sz="4"/>
            </w:tcBorders>
            <w:shd w:fill="FFFBEB" w:val="clear"/>
            <w:tcMar>
              <w:top w:type="dxa" w:w="100"/>
              <w:left w:type="dxa" w:w="140"/>
              <w:bottom w:type="dxa" w:w="100"/>
              <w:right w:type="dxa" w:w="140"/>
            </w:tcMar>
          </w:tcPr>
          <w:p>
            <w:r>
              <w:rPr>
                <w:rFonts w:ascii="Arial" w:cs="Arial" w:eastAsia="Arial" w:hAnsi="Arial"/>
                <w:b/>
                <w:bCs/>
                <w:color w:val="1E2761"/>
                <w:sz w:val="28"/>
                <w:szCs w:val="28"/>
              </w:rPr>
              <w:t xml:space="preserve">Q5</w:t>
            </w:r>
            <w:r>
              <w:rPr>
                <w:rFonts w:ascii="Arial" w:cs="Arial" w:eastAsia="Arial" w:hAnsi="Arial"/>
                <w:b/>
                <w:bCs/>
                <w:color w:val="B8860B"/>
                <w:sz w:val="16"/>
                <w:szCs w:val="16"/>
              </w:rPr>
              <w:t xml:space="preserve">  문서 vs 실제 처리</w:t>
            </w:r>
          </w:p>
          <w:p>
            <w:pPr>
              <w:spacing w:before="100"/>
            </w:pPr>
            <w:r>
              <w:rPr>
                <w:rFonts w:ascii="Arial" w:cs="Arial" w:eastAsia="Arial" w:hAnsi="Arial"/>
                <w:b/>
                <w:bCs/>
                <w:color w:val="111827"/>
                <w:sz w:val="22"/>
                <w:szCs w:val="22"/>
              </w:rPr>
              <w:t xml:space="preserve">처리방침 문서만 보고 실제 개인정보 처리 위험을 판단할 수 있습니까?</w:t>
            </w:r>
          </w:p>
        </w:tc>
      </w:tr>
      <w:tr>
        <w:tc>
          <w:tcPr>
            <w:tcW w:type="dxa" w:w="14400"/>
            <w:tcBorders>
              <w:top w:val="single" w:color="CADCFC" w:sz="4"/>
              <w:left w:val="single" w:color="CADCFC" w:sz="4"/>
              <w:bottom w:val="single" w:color="CADCFC" w:sz="4"/>
              <w:right w:val="single" w:color="CADCFC" w:sz="4"/>
            </w:tcBorders>
            <w:shd w:fill="FFFFFF" w:val="clear"/>
            <w:tcMar>
              <w:top w:type="dxa" w:w="120"/>
              <w:left w:type="dxa" w:w="140"/>
              <w:bottom w:type="dxa" w:w="120"/>
              <w:right w:type="dxa" w:w="140"/>
            </w:tcMar>
          </w:tcPr>
          <w:p>
            <w:r>
              <w:rPr>
                <w:rFonts w:ascii="Arial" w:cs="Arial" w:eastAsia="Arial" w:hAnsi="Arial"/>
                <w:b/>
                <w:bCs/>
                <w:color w:val="B8860B"/>
                <w:sz w:val="16"/>
                <w:szCs w:val="16"/>
              </w:rPr>
              <w:t xml:space="preserve">▸ 모범 답안</w:t>
            </w:r>
          </w:p>
          <w:p>
            <w:pPr>
              <w:spacing w:before="100"/>
            </w:pPr>
            <w:r>
              <w:rPr>
                <w:rFonts w:ascii="Arial" w:cs="Arial" w:eastAsia="Arial" w:hAnsi="Arial"/>
                <w:color w:val="111827"/>
                <w:sz w:val="20"/>
                <w:szCs w:val="20"/>
              </w:rPr>
              <w:t xml:space="preserve">실제 내부 처리 행위까지 확정할 수는 없습니다. 저희 서비스는 공개 처리방침을 대상으로 고지 충실도와 위험 신호를 점검하는 1차 필터링 도구이며, 실제 위법 여부는 추가 사실관계 확인과 전문 검토가 필요합니다.</w:t>
            </w:r>
          </w:p>
        </w:tc>
      </w:tr>
      <w:tr>
        <w:tc>
          <w:tcPr>
            <w:tcW w:type="dxa" w:w="14400"/>
            <w:tcBorders>
              <w:top w:val="single" w:color="CADCFC" w:sz="4"/>
              <w:left w:val="single" w:color="CADCFC" w:sz="4"/>
              <w:bottom w:val="single" w:color="CADCFC" w:sz="4"/>
              <w:right w:val="single" w:color="CADCFC" w:sz="4"/>
            </w:tcBorders>
            <w:shd w:fill="FFFBEB" w:val="clear"/>
            <w:tcMar>
              <w:top w:type="dxa" w:w="100"/>
              <w:left w:type="dxa" w:w="140"/>
              <w:bottom w:type="dxa" w:w="100"/>
              <w:right w:type="dxa" w:w="140"/>
            </w:tcMar>
          </w:tcPr>
          <w:p>
            <w:r>
              <w:rPr>
                <w:rFonts w:ascii="Arial" w:cs="Arial" w:eastAsia="Arial" w:hAnsi="Arial"/>
                <w:b/>
                <w:bCs/>
                <w:color w:val="1E2761"/>
                <w:sz w:val="28"/>
                <w:szCs w:val="28"/>
              </w:rPr>
              <w:t xml:space="preserve">Q6</w:t>
            </w:r>
            <w:r>
              <w:rPr>
                <w:rFonts w:ascii="Arial" w:cs="Arial" w:eastAsia="Arial" w:hAnsi="Arial"/>
                <w:b/>
                <w:bCs/>
                <w:color w:val="B8860B"/>
                <w:sz w:val="16"/>
                <w:szCs w:val="16"/>
              </w:rPr>
              <w:t xml:space="preserve">  Rule + LLM 충돌</w:t>
            </w:r>
          </w:p>
          <w:p>
            <w:pPr>
              <w:spacing w:before="100"/>
            </w:pPr>
            <w:r>
              <w:rPr>
                <w:rFonts w:ascii="Arial" w:cs="Arial" w:eastAsia="Arial" w:hAnsi="Arial"/>
                <w:b/>
                <w:bCs/>
                <w:color w:val="111827"/>
                <w:sz w:val="22"/>
                <w:szCs w:val="22"/>
              </w:rPr>
              <w:t xml:space="preserve">Rule-based 필터와 LLM 분석이 다른 결론이면 어느 쪽을 우선합니까?</w:t>
            </w:r>
          </w:p>
        </w:tc>
      </w:tr>
      <w:tr>
        <w:tc>
          <w:tcPr>
            <w:tcW w:type="dxa" w:w="14400"/>
            <w:tcBorders>
              <w:top w:val="single" w:color="CADCFC" w:sz="4"/>
              <w:left w:val="single" w:color="CADCFC" w:sz="4"/>
              <w:bottom w:val="single" w:color="CADCFC" w:sz="4"/>
              <w:right w:val="single" w:color="CADCFC" w:sz="4"/>
            </w:tcBorders>
            <w:shd w:fill="FFFFFF" w:val="clear"/>
            <w:tcMar>
              <w:top w:type="dxa" w:w="120"/>
              <w:left w:type="dxa" w:w="140"/>
              <w:bottom w:type="dxa" w:w="120"/>
              <w:right w:type="dxa" w:w="140"/>
            </w:tcMar>
          </w:tcPr>
          <w:p>
            <w:r>
              <w:rPr>
                <w:rFonts w:ascii="Arial" w:cs="Arial" w:eastAsia="Arial" w:hAnsi="Arial"/>
                <w:b/>
                <w:bCs/>
                <w:color w:val="B8860B"/>
                <w:sz w:val="16"/>
                <w:szCs w:val="16"/>
              </w:rPr>
              <w:t xml:space="preserve">▸ 모범 답안</w:t>
            </w:r>
          </w:p>
          <w:p>
            <w:pPr>
              <w:spacing w:before="100"/>
            </w:pPr>
            <w:r>
              <w:rPr>
                <w:rFonts w:ascii="Arial" w:cs="Arial" w:eastAsia="Arial" w:hAnsi="Arial"/>
                <w:color w:val="111827"/>
                <w:sz w:val="20"/>
                <w:szCs w:val="20"/>
              </w:rPr>
              <w:t xml:space="preserve">최종 점수는 LLM 판단이 아니라 단계형 룰 점수화가 우선합니다. LLM은 문맥 분석과 후보 조항 분류에 사용하고, 감점은 사전 정의한 25개 항목의 누적·배타 룰에 따라 기계적으로 계산합니다.</w:t>
            </w:r>
          </w:p>
        </w:tc>
      </w:tr>
      <w:tr>
        <w:tc>
          <w:tcPr>
            <w:tcW w:type="dxa" w:w="14400"/>
            <w:tcBorders>
              <w:top w:val="single" w:color="CADCFC" w:sz="4"/>
              <w:left w:val="single" w:color="CADCFC" w:sz="4"/>
              <w:bottom w:val="single" w:color="CADCFC" w:sz="4"/>
              <w:right w:val="single" w:color="CADCFC" w:sz="4"/>
            </w:tcBorders>
            <w:shd w:fill="FFFBEB" w:val="clear"/>
            <w:tcMar>
              <w:top w:type="dxa" w:w="100"/>
              <w:left w:type="dxa" w:w="140"/>
              <w:bottom w:type="dxa" w:w="100"/>
              <w:right w:type="dxa" w:w="140"/>
            </w:tcMar>
          </w:tcPr>
          <w:p>
            <w:r>
              <w:rPr>
                <w:rFonts w:ascii="Arial" w:cs="Arial" w:eastAsia="Arial" w:hAnsi="Arial"/>
                <w:b/>
                <w:bCs/>
                <w:color w:val="1E2761"/>
                <w:sz w:val="28"/>
                <w:szCs w:val="28"/>
              </w:rPr>
              <w:t xml:space="preserve">Q7</w:t>
            </w:r>
            <w:r>
              <w:rPr>
                <w:rFonts w:ascii="Arial" w:cs="Arial" w:eastAsia="Arial" w:hAnsi="Arial"/>
                <w:b/>
                <w:bCs/>
                <w:color w:val="B8860B"/>
                <w:sz w:val="16"/>
                <w:szCs w:val="16"/>
              </w:rPr>
              <w:t xml:space="preserve">  항목별 배점 산식</w:t>
            </w:r>
          </w:p>
          <w:p>
            <w:pPr>
              <w:spacing w:before="100"/>
            </w:pPr>
            <w:r>
              <w:rPr>
                <w:rFonts w:ascii="Arial" w:cs="Arial" w:eastAsia="Arial" w:hAnsi="Arial"/>
                <w:b/>
                <w:bCs/>
                <w:color w:val="111827"/>
                <w:sz w:val="22"/>
                <w:szCs w:val="22"/>
              </w:rPr>
              <w:t xml:space="preserve">B2 제3자 제공 최대 7점인데, 25개 항목 전체 배점은 어떻게 정해집니까?</w:t>
            </w:r>
          </w:p>
        </w:tc>
      </w:tr>
      <w:tr>
        <w:tc>
          <w:tcPr>
            <w:tcW w:type="dxa" w:w="14400"/>
            <w:tcBorders>
              <w:top w:val="single" w:color="CADCFC" w:sz="4"/>
              <w:left w:val="single" w:color="CADCFC" w:sz="4"/>
              <w:bottom w:val="single" w:color="CADCFC" w:sz="4"/>
              <w:right w:val="single" w:color="CADCFC" w:sz="4"/>
            </w:tcBorders>
            <w:shd w:fill="FFFFFF" w:val="clear"/>
            <w:tcMar>
              <w:top w:type="dxa" w:w="120"/>
              <w:left w:type="dxa" w:w="140"/>
              <w:bottom w:type="dxa" w:w="120"/>
              <w:right w:type="dxa" w:w="140"/>
            </w:tcMar>
          </w:tcPr>
          <w:p>
            <w:r>
              <w:rPr>
                <w:rFonts w:ascii="Arial" w:cs="Arial" w:eastAsia="Arial" w:hAnsi="Arial"/>
                <w:b/>
                <w:bCs/>
                <w:color w:val="B8860B"/>
                <w:sz w:val="16"/>
                <w:szCs w:val="16"/>
              </w:rPr>
              <w:t xml:space="preserve">▸ 모범 답안</w:t>
            </w:r>
          </w:p>
          <w:p>
            <w:pPr>
              <w:spacing w:before="100"/>
            </w:pPr>
            <w:r>
              <w:rPr>
                <w:rFonts w:ascii="Arial" w:cs="Arial" w:eastAsia="Arial" w:hAnsi="Arial"/>
                <w:color w:val="111827"/>
                <w:sz w:val="20"/>
                <w:szCs w:val="20"/>
              </w:rPr>
              <w:t xml:space="preserve">5개 영역에 각 5개 항목입니다. 영역별 총점은 A·B 25점, C·D 15점, E 20점입니다. 항목별 최대점은 위험도 높은 항목에 더 크게 배정했고, B2는 제공 여부·광고/제휴·포괄 표현·항목 불명확성을 누적해 최대 7점으로 산정합니다. XLSX에는 25개 전 항목의 동일한 단계형 룰이 정의되어 있습니다.</w:t>
            </w:r>
          </w:p>
        </w:tc>
      </w:tr>
      <w:tr>
        <w:tc>
          <w:tcPr>
            <w:tcW w:type="dxa" w:w="14400"/>
            <w:tcBorders>
              <w:top w:val="single" w:color="CADCFC" w:sz="4"/>
              <w:left w:val="single" w:color="CADCFC" w:sz="4"/>
              <w:bottom w:val="single" w:color="CADCFC" w:sz="4"/>
              <w:right w:val="single" w:color="CADCFC" w:sz="4"/>
            </w:tcBorders>
            <w:shd w:fill="FFFBEB" w:val="clear"/>
            <w:tcMar>
              <w:top w:type="dxa" w:w="100"/>
              <w:left w:type="dxa" w:w="140"/>
              <w:bottom w:type="dxa" w:w="100"/>
              <w:right w:type="dxa" w:w="140"/>
            </w:tcMar>
          </w:tcPr>
          <w:p>
            <w:r>
              <w:rPr>
                <w:rFonts w:ascii="Arial" w:cs="Arial" w:eastAsia="Arial" w:hAnsi="Arial"/>
                <w:b/>
                <w:bCs/>
                <w:color w:val="1E2761"/>
                <w:sz w:val="28"/>
                <w:szCs w:val="28"/>
              </w:rPr>
              <w:t xml:space="preserve">Q8</w:t>
            </w:r>
            <w:r>
              <w:rPr>
                <w:rFonts w:ascii="Arial" w:cs="Arial" w:eastAsia="Arial" w:hAnsi="Arial"/>
                <w:b/>
                <w:bCs/>
                <w:color w:val="B8860B"/>
                <w:sz w:val="16"/>
                <w:szCs w:val="16"/>
              </w:rPr>
              <w:t xml:space="preserve">  URL 자체 식별 위험</w:t>
            </w:r>
          </w:p>
          <w:p>
            <w:pPr>
              <w:spacing w:before="100"/>
            </w:pPr>
            <w:r>
              <w:rPr>
                <w:rFonts w:ascii="Arial" w:cs="Arial" w:eastAsia="Arial" w:hAnsi="Arial"/>
                <w:b/>
                <w:bCs/>
                <w:color w:val="111827"/>
                <w:sz w:val="22"/>
                <w:szCs w:val="22"/>
              </w:rPr>
              <w:t xml:space="preserve">처리방침 URL을 외부 LLM에 보내는 것도 사용자 관심정보 노출 아닌가요?</w:t>
            </w:r>
          </w:p>
        </w:tc>
      </w:tr>
      <w:tr>
        <w:tc>
          <w:tcPr>
            <w:tcW w:type="dxa" w:w="14400"/>
            <w:tcBorders>
              <w:top w:val="single" w:color="CADCFC" w:sz="4"/>
              <w:left w:val="single" w:color="CADCFC" w:sz="4"/>
              <w:bottom w:val="single" w:color="CADCFC" w:sz="4"/>
              <w:right w:val="single" w:color="CADCFC" w:sz="4"/>
            </w:tcBorders>
            <w:shd w:fill="FFFFFF" w:val="clear"/>
            <w:tcMar>
              <w:top w:type="dxa" w:w="120"/>
              <w:left w:type="dxa" w:w="140"/>
              <w:bottom w:type="dxa" w:w="120"/>
              <w:right w:type="dxa" w:w="140"/>
            </w:tcMar>
          </w:tcPr>
          <w:p>
            <w:r>
              <w:rPr>
                <w:rFonts w:ascii="Arial" w:cs="Arial" w:eastAsia="Arial" w:hAnsi="Arial"/>
                <w:b/>
                <w:bCs/>
                <w:color w:val="B8860B"/>
                <w:sz w:val="16"/>
                <w:szCs w:val="16"/>
              </w:rPr>
              <w:t xml:space="preserve">▸ 모범 답안</w:t>
            </w:r>
          </w:p>
          <w:p>
            <w:pPr>
              <w:spacing w:before="100"/>
            </w:pPr>
            <w:r>
              <w:rPr>
                <w:rFonts w:ascii="Arial" w:cs="Arial" w:eastAsia="Arial" w:hAnsi="Arial"/>
                <w:color w:val="111827"/>
                <w:sz w:val="20"/>
                <w:szCs w:val="20"/>
              </w:rPr>
              <w:t xml:space="preserve">맞습니다. URL도 관심 정보를 암시할 수 있어 식별값과 분리해야 합니다. PrivacyScan은 공개 문서 본문만 분석 대상으로 보내고, 사용자 계정·쿠키·IP 같은 식별정보는 LLM 요청에 포함하지 않습니다. 민감 환경에서는 sLLM 로컬 추론 옵션도 제공합니다.</w:t>
            </w:r>
          </w:p>
        </w:tc>
      </w:tr>
      <w:tr>
        <w:tc>
          <w:tcPr>
            <w:tcW w:type="dxa" w:w="14400"/>
            <w:tcBorders>
              <w:top w:val="single" w:color="CADCFC" w:sz="4"/>
              <w:left w:val="single" w:color="CADCFC" w:sz="4"/>
              <w:bottom w:val="single" w:color="CADCFC" w:sz="4"/>
              <w:right w:val="single" w:color="CADCFC" w:sz="4"/>
            </w:tcBorders>
            <w:shd w:fill="FFFBEB" w:val="clear"/>
            <w:tcMar>
              <w:top w:type="dxa" w:w="100"/>
              <w:left w:type="dxa" w:w="140"/>
              <w:bottom w:type="dxa" w:w="100"/>
              <w:right w:type="dxa" w:w="140"/>
            </w:tcMar>
          </w:tcPr>
          <w:p>
            <w:r>
              <w:rPr>
                <w:rFonts w:ascii="Arial" w:cs="Arial" w:eastAsia="Arial" w:hAnsi="Arial"/>
                <w:b/>
                <w:bCs/>
                <w:color w:val="1E2761"/>
                <w:sz w:val="28"/>
                <w:szCs w:val="28"/>
              </w:rPr>
              <w:t xml:space="preserve">Q9</w:t>
            </w:r>
            <w:r>
              <w:rPr>
                <w:rFonts w:ascii="Arial" w:cs="Arial" w:eastAsia="Arial" w:hAnsi="Arial"/>
                <w:b/>
                <w:bCs/>
                <w:color w:val="B8860B"/>
                <w:sz w:val="16"/>
                <w:szCs w:val="16"/>
              </w:rPr>
              <w:t xml:space="preserve">  용어 정확성</w:t>
            </w:r>
          </w:p>
          <w:p>
            <w:pPr>
              <w:spacing w:before="100"/>
            </w:pPr>
            <w:r>
              <w:rPr>
                <w:rFonts w:ascii="Arial" w:cs="Arial" w:eastAsia="Arial" w:hAnsi="Arial"/>
                <w:b/>
                <w:bCs/>
                <w:color w:val="111827"/>
                <w:sz w:val="22"/>
                <w:szCs w:val="22"/>
              </w:rPr>
              <w:t xml:space="preserve">처리방침과 일반 이용약관은 다른 문서인데, "약관"이라고 표현한 이유는?</w:t>
            </w:r>
          </w:p>
        </w:tc>
      </w:tr>
      <w:tr>
        <w:tc>
          <w:tcPr>
            <w:tcW w:type="dxa" w:w="14400"/>
            <w:tcBorders>
              <w:top w:val="single" w:color="CADCFC" w:sz="4"/>
              <w:left w:val="single" w:color="CADCFC" w:sz="4"/>
              <w:bottom w:val="single" w:color="CADCFC" w:sz="4"/>
              <w:right w:val="single" w:color="CADCFC" w:sz="4"/>
            </w:tcBorders>
            <w:shd w:fill="FFFFFF" w:val="clear"/>
            <w:tcMar>
              <w:top w:type="dxa" w:w="120"/>
              <w:left w:type="dxa" w:w="140"/>
              <w:bottom w:type="dxa" w:w="120"/>
              <w:right w:type="dxa" w:w="140"/>
            </w:tcMar>
          </w:tcPr>
          <w:p>
            <w:r>
              <w:rPr>
                <w:rFonts w:ascii="Arial" w:cs="Arial" w:eastAsia="Arial" w:hAnsi="Arial"/>
                <w:b/>
                <w:bCs/>
                <w:color w:val="B8860B"/>
                <w:sz w:val="16"/>
                <w:szCs w:val="16"/>
              </w:rPr>
              <w:t xml:space="preserve">▸ 모범 답안</w:t>
            </w:r>
          </w:p>
          <w:p>
            <w:pPr>
              <w:spacing w:before="100"/>
            </w:pPr>
            <w:r>
              <w:rPr>
                <w:rFonts w:ascii="Arial" w:cs="Arial" w:eastAsia="Arial" w:hAnsi="Arial"/>
                <w:color w:val="111827"/>
                <w:sz w:val="20"/>
                <w:szCs w:val="20"/>
              </w:rPr>
              <w:t xml:space="preserve">발표 초반 "약관"은 일반 사용자 이해를 돕기 위한 표현이고, 실제 평가 대상은 개인정보처리방침입니다. 위험도 점수 체계도 개인정보보호법 제15·17·21·23·30·37의2조와 처리방침 평가 고시에 맞춰 설계했습니다.</w:t>
            </w:r>
          </w:p>
        </w:tc>
      </w:tr>
      <w:tr>
        <w:tc>
          <w:tcPr>
            <w:tcW w:type="dxa" w:w="14400"/>
            <w:tcBorders>
              <w:top w:val="single" w:color="CADCFC" w:sz="4"/>
              <w:left w:val="single" w:color="CADCFC" w:sz="4"/>
              <w:bottom w:val="single" w:color="CADCFC" w:sz="4"/>
              <w:right w:val="single" w:color="CADCFC" w:sz="4"/>
            </w:tcBorders>
            <w:shd w:fill="FFFBEB" w:val="clear"/>
            <w:tcMar>
              <w:top w:type="dxa" w:w="100"/>
              <w:left w:type="dxa" w:w="140"/>
              <w:bottom w:type="dxa" w:w="100"/>
              <w:right w:type="dxa" w:w="140"/>
            </w:tcMar>
          </w:tcPr>
          <w:p>
            <w:r>
              <w:rPr>
                <w:rFonts w:ascii="Arial" w:cs="Arial" w:eastAsia="Arial" w:hAnsi="Arial"/>
                <w:b/>
                <w:bCs/>
                <w:color w:val="1E2761"/>
                <w:sz w:val="28"/>
                <w:szCs w:val="28"/>
              </w:rPr>
              <w:t xml:space="preserve">Q10</w:t>
            </w:r>
            <w:r>
              <w:rPr>
                <w:rFonts w:ascii="Arial" w:cs="Arial" w:eastAsia="Arial" w:hAnsi="Arial"/>
                <w:b/>
                <w:bCs/>
                <w:color w:val="B8860B"/>
                <w:sz w:val="16"/>
                <w:szCs w:val="16"/>
              </w:rPr>
              <w:t xml:space="preserve">  차별성 검증</w:t>
            </w:r>
          </w:p>
          <w:p>
            <w:pPr>
              <w:spacing w:before="100"/>
            </w:pPr>
            <w:r>
              <w:rPr>
                <w:rFonts w:ascii="Arial" w:cs="Arial" w:eastAsia="Arial" w:hAnsi="Arial"/>
                <w:b/>
                <w:bCs/>
                <w:color w:val="111827"/>
                <w:sz w:val="22"/>
                <w:szCs w:val="22"/>
              </w:rPr>
              <w:t xml:space="preserve">"국내 유일"이라고 했는데 조사 범위와 근거는 무엇입니까?</w:t>
            </w:r>
          </w:p>
        </w:tc>
      </w:tr>
      <w:tr>
        <w:tc>
          <w:tcPr>
            <w:tcW w:type="dxa" w:w="14400"/>
            <w:tcBorders>
              <w:top w:val="single" w:color="CADCFC" w:sz="4"/>
              <w:left w:val="single" w:color="CADCFC" w:sz="4"/>
              <w:bottom w:val="single" w:color="CADCFC" w:sz="4"/>
              <w:right w:val="single" w:color="CADCFC" w:sz="4"/>
            </w:tcBorders>
            <w:shd w:fill="FFFFFF" w:val="clear"/>
            <w:tcMar>
              <w:top w:type="dxa" w:w="120"/>
              <w:left w:type="dxa" w:w="140"/>
              <w:bottom w:type="dxa" w:w="120"/>
              <w:right w:type="dxa" w:w="140"/>
            </w:tcMar>
          </w:tcPr>
          <w:p>
            <w:r>
              <w:rPr>
                <w:rFonts w:ascii="Arial" w:cs="Arial" w:eastAsia="Arial" w:hAnsi="Arial"/>
                <w:b/>
                <w:bCs/>
                <w:color w:val="B8860B"/>
                <w:sz w:val="16"/>
                <w:szCs w:val="16"/>
              </w:rPr>
              <w:t xml:space="preserve">▸ 모범 답안</w:t>
            </w:r>
          </w:p>
          <w:p>
            <w:pPr>
              <w:spacing w:before="100"/>
            </w:pPr>
            <w:r>
              <w:rPr>
                <w:rFonts w:ascii="Arial" w:cs="Arial" w:eastAsia="Arial" w:hAnsi="Arial"/>
                <w:color w:val="111827"/>
                <w:sz w:val="20"/>
                <w:szCs w:val="20"/>
              </w:rPr>
              <w:t xml:space="preserve">비교한 약관 GPT류·법무법인 검토·대형 플랫폼 자체 요약 비교군 내에서 법률 매핑·정량 점수·전 서비스 모니터링 세 요소를 동시에 제공하는 사례를 확인하지 못했다는 의미입니다. 발표에서는 "국내 유일"보다 "비교군 내 차별적 조합"으로 표현을 조정했습니다.</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2026-05-08T02:18:36.653Z</dcterms:created>
  <dcterms:modified xsi:type="dcterms:W3CDTF">2026-05-08T02:18:36.653Z</dcterms:modified>
</cp:coreProperties>
</file>

<file path=docProps/custom.xml><?xml version="1.0" encoding="utf-8"?>
<Properties xmlns="http://schemas.openxmlformats.org/officeDocument/2006/custom-properties" xmlns:vt="http://schemas.openxmlformats.org/officeDocument/2006/docPropsVTypes"/>
</file>