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 Unicode MS" w:hAnsi="Arial Unicode MS" w:eastAsia="Arial Unicode MS" w:hint="eastAsia"/>
          <w:b/>
          <w:color w:val="2E74B5"/>
          <w:sz w:val="18"/>
          <w:lang w:eastAsia="zh-CN"/>
        </w:rPr>
        <w:t>XH-202609 竞赛提交材料</w:t>
      </w:r>
    </w:p>
    <w:p>
      <w:pPr>
        <w:pStyle w:val="DocumentTitle"/>
      </w:pPr>
      <w:r>
        <w:t>竞赛交付索引</w:t>
      </w:r>
    </w:p>
    <w:p>
      <w:pPr>
        <w:pStyle w:val="DocumentSubtitle"/>
      </w:pPr>
      <w:r>
        <w:t>烛龙·玄枢（ZhuLong XuanShu）——具备自主决策能力的通用网络安全智能体</w:t>
      </w:r>
    </w:p>
    <w:p>
      <w:pPr>
        <w:spacing w:after="280"/>
        <w:pBdr>
          <w:bottom w:val="single" w:sz="6" w:space="6" w:color="2E74B5"/>
        </w:pBdr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本目录是“烛龙·玄枢——具备自主决策能力的通用网络安全智能体”的比赛交付索引。源码位于仓库根目录，核心技术材料均以当前 main 的 723f047 为可复核基线。所有材料遵循同一安全边界：不纳入模型密钥、平台令牌、Cookie、Authorization、未公开题目答案、真实目标信息或隐藏推理。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本次交付范围是源码、方案设计、开发、测试、用户部署和技术报告。不以 PPT 或演示视频作为本轮开发和交付要求；仓库中已有的历史文件仅作保留，不作为本索引的完成项或验收条件。</w:t>
      </w:r>
    </w:p>
    <w:p>
      <w:pPr>
        <w:pStyle w:val="Heading1"/>
      </w:pPr>
      <w:r>
        <w:t>核心交付物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4"/>
        <w:gridCol w:w="3691"/>
        <w:gridCol w:w="922"/>
        <w:gridCol w:w="3693"/>
      </w:tblGrid>
      <w:tr>
        <w:trPr>
          <w:tblHeader w:val="true"/>
        </w:trP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类别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仓库内材料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状态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8"/>
                <w:lang w:eastAsia="zh-CN"/>
              </w:rPr>
              <w:t>用途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编译前源代码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根目录 src/、frontend/、test/、tools/、config/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可构建、可审计的完整实现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方案设计文档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01-solution-design.md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目标、架构、决策闭环、安全控制与需求追溯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开发文档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02-development-guide.md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环境、模块边界、扩展门禁、调试和提交规范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测试报告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03-test-report.md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验收基线、执行结果、覆盖范围、限制和复测清单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用户与部署手册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04-user-and-deployment-guide.md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本地/Docker 启动、控制台、模型设置、Flag/WP 与现场操作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技术报告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05-technical-report.md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技术路线、实现、创新点、验证和局限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Word 正式版</w:t>
            </w:r>
          </w:p>
        </w:tc>
        <w:tc>
          <w:tcPr>
            <w:tcW w:type="dxa" w:w="3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docx/README.md 下的 00 至 05 六份 .docx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已完成</w:t>
            </w:r>
          </w:p>
        </w:tc>
        <w:tc>
          <w:tcPr>
            <w:tcW w:type="dxa" w:w="36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8"/>
                <w:lang w:eastAsia="zh-CN"/>
              </w:rPr>
              <w:t>可直接随比赛材料上传的正式版；Markdown 保留为可追溯源稿</w:t>
            </w:r>
          </w:p>
        </w:tc>
      </w:tr>
    </w:tbl>
    <w:p>
      <w:pPr>
        <w:spacing w:after="60"/>
      </w:pPr>
    </w:p>
    <w:p>
      <w:pPr>
        <w:pStyle w:val="Heading1"/>
      </w:pPr>
      <w:r>
        <w:t>支撑材料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63"/>
        <w:gridCol w:w="6897"/>
      </w:tblGrid>
      <w:tr>
        <w:trPr>
          <w:tblHeader w:val="true"/>
        </w:trP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材料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说明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系统架构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完整模块职责、威胁模型、隔离和恢复语义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工具副作用与审计契约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工具读写、网络、预算和审计边界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评测协议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泛化、鲁棒性、消融和评测账本方法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容器化部署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Podman/Docker Compose、端口、环境变量与诊断细节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模型设置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临时模型接入与凭据不持久化约束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WP 生成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终态 WP 输入、格式、验证和失败降级规则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原创性及保密性声明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待团队核实、签字和盖章的正式声明模板</w:t>
            </w:r>
          </w:p>
        </w:tc>
      </w:tr>
      <w:tr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报名与邮件提交模板</w:t>
            </w:r>
          </w:p>
        </w:tc>
        <w:tc>
          <w:tcPr>
            <w:tcW w:type="dxa" w:w="6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待按主办方最新规则填写的外部行政材料</w:t>
            </w:r>
          </w:p>
        </w:tc>
      </w:tr>
    </w:tbl>
    <w:p>
      <w:pPr>
        <w:spacing w:after="60"/>
      </w:pPr>
    </w:p>
    <w:p>
      <w:pPr>
        <w:pStyle w:val="Heading1"/>
      </w:pPr>
      <w:r>
        <w:t>交付验证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本次文档记录的工程验证基线为：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commit: 723f0475fbbde81af8ab8056668f17df4da7ff2e</w:t>
        <w:br/>
        <w:t>npm run check: 通过（61 个测试文件通过，1 个跳过；387 个用例通过，1 个跳过）</w:t>
        <w:br/>
        <w:t>npm --prefix frontend run build: 通过</w:t>
        <w:br/>
        <w:t>XUANSHU_SERVER_TOKEN=validation-only docker-compose config: 通过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该基线不宣称已在当前机器完成 Docker 镜像构建、容器运行、真实模型或真实比赛平台评测。交付机应依次执行：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git diff --check</w:t>
        <w:br/>
        <w:t>npm run check</w:t>
        <w:br/>
        <w:t>npm --prefix frontend run build</w:t>
        <w:br/>
        <w:t>XUANSHU_SERVER_TOKEN=validation-only docker-compose config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在具备已连接 Podman 或 Docker 引擎的现场环境，还应完成 Compose 构建、/health、令牌登录、附件上传和只读任务冒烟，并将镜像摘要和结果另存为脱敏测试证据。</w:t>
      </w:r>
    </w:p>
    <w:p>
      <w:pPr>
        <w:pStyle w:val="Heading1"/>
      </w:pPr>
      <w:r>
        <w:t>打包与赛前行政动作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以下事项依赖团队身份、主办方系统或单位流程，不能由源码仓库代替。它们不是核心技术文档的未完成项：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由团队核实并签署 原创性及保密性声明，按要求盖章并导出扫描件。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按主办方最新通知填写报名系统，下载审核通过的申报表并完成盖章流程。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打包前从工作目录排除 .env、.xuan-shu/、workspace/ 私有材料、node_modules/、模型密钥、令牌、Cookie、Authorization、未公开题目附件和真实 Flag。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固定最终 commit SHA，保存 npm run check、前端构建、Compose 验证与 Docker 现场复测的脱敏记录。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按主办方当期规则上传源码与本目录文档；不要将历史 PPT 或演示视频列为本次必交开发产物。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上传时优先使用 docx/ 下的 Word 正式版，并同时保留对应 Markdown 源稿。请勿将本机运行产物、模型配置或任何私有附件打包进比赛材料。</w:t>
      </w:r>
    </w:p>
    <w:p>
      <w:pPr>
        <w:pStyle w:val="Heading1"/>
      </w:pPr>
      <w:r>
        <w:t>可复核入口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代码和运行时边界：README.md、系统架构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实际工具副作用：工具副作用与审计契约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评测与反过拟合方法：评测协议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终态结论、Flag 和 WP 交付：用户与部署手册</w:t>
      </w:r>
    </w:p>
    <w:p>
      <w:pPr>
        <w:pStyle w:val="ListBullet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一键启动和现场部署：容器化部署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XH-202609  |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6" w:color="B7C4D4"/>
      </w:pBdr>
    </w:pPr>
    <w:r>
      <w:rPr>
        <w:rFonts w:ascii="Arial Unicode MS" w:hAnsi="Arial Unicode MS" w:eastAsia="Arial Unicode MS" w:hint="eastAsia"/>
        <w:b/>
        <w:color w:val="5D6B7A"/>
        <w:sz w:val="17"/>
        <w:lang w:eastAsia="zh-CN"/>
      </w:rPr>
      <w:t>烛龙·玄枢 | XH-202609 竞赛提交材料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before="120" w:after="80"/>
    </w:pPr>
    <w:rPr>
      <w:rFonts w:ascii="Arial Unicode MS" w:hAnsi="Arial Unicode MS" w:eastAsia="Arial Unicode MS"/>
      <w:b/>
      <w:color w:val="0B2545"/>
      <w:sz w:val="48"/>
    </w:rPr>
  </w:style>
  <w:style w:type="paragraph" w:customStyle="1" w:styleId="DocumentSubtitle">
    <w:name w:val="Document Subtitle"/>
    <w:pPr>
      <w:spacing w:after="360"/>
    </w:pPr>
    <w:rPr>
      <w:rFonts w:ascii="Arial Unicode MS" w:hAnsi="Arial Unicode MS" w:eastAsia="Arial Unicode MS"/>
      <w:color w:val="5D6B7A"/>
      <w:sz w:val="20"/>
    </w:rPr>
  </w:style>
  <w:style w:type="paragraph" w:customStyle="1" w:styleId="CodeBlock">
    <w:name w:val="Code Block"/>
    <w:pPr>
      <w:spacing w:before="100" w:after="100"/>
      <w:ind w:left="230" w:right="230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竞赛交付索引</dc:title>
  <dc:subject>XH-202609 竞赛提交材料</dc:subject>
  <dc:creator>ZhuLong XuanShu Team</dc:creator>
  <cp:keywords/>
  <dc:description>由仓库 Markdown 源文档生成；不含模型密钥、平台令牌、Cookie、Authorization 或隐藏推理。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