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 Unicode MS" w:hAnsi="Arial Unicode MS" w:eastAsia="Arial Unicode MS" w:hint="eastAsia"/>
          <w:b/>
          <w:color w:val="2E74B5"/>
          <w:sz w:val="18"/>
          <w:lang w:eastAsia="zh-CN"/>
        </w:rPr>
        <w:t>XH-202609 竞赛提交材料</w:t>
      </w:r>
    </w:p>
    <w:p>
      <w:pPr>
        <w:pStyle w:val="DocumentTitle"/>
      </w:pPr>
      <w:r>
        <w:t>方案设计文档</w:t>
      </w:r>
    </w:p>
    <w:p>
      <w:pPr>
        <w:pStyle w:val="DocumentSubtitle"/>
      </w:pPr>
      <w:r>
        <w:t>烛龙·玄枢（ZhuLong XuanShu）——具备自主决策能力的通用网络安全智能体</w:t>
      </w:r>
    </w:p>
    <w:p>
      <w:pPr>
        <w:spacing w:after="280"/>
        <w:pBdr>
          <w:bottom w:val="single" w:sz="6" w:space="6" w:color="2E74B5"/>
        </w:pBdr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7488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内容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作品名称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烛龙·玄枢（ZhuLong XuanShu）——具备自主决策能力的通用网络安全智能体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文档编号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XH-202609-01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版本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1.0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对应代码基线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723f047（main）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适用范围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明确授权的竞赛、教学靶场、实验室与安全研究任务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编制日期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2026-08-31</w:t>
            </w:r>
          </w:p>
        </w:tc>
      </w:tr>
    </w:tbl>
    <w:p>
      <w:pPr>
        <w:spacing w:after="60"/>
      </w:pPr>
    </w:p>
    <w:p>
      <w:pPr>
        <w:pStyle w:val="Heading1"/>
      </w:pPr>
      <w:r>
        <w:t>1. 项目概述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烛龙·玄枢是一个面向授权网络安全任务的自主决策运行时。它接收自然语言任务及文本、结构化数据、目录、压缩包、图像和二进制附件，将任务处理为“计划、假设、受控行动、证据、复核、结论”的闭环。系统的设计重点不是扩大模型执行权限，而是让模型在明确的授权、预算、隔离和审计约束中完成可解释的自主调整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本方案不服务于未授权扫描、攻击或生产环境无人值守处置。模型不能直接取得网络、Shell 或配置扩权能力；所有主动网络行为均须通过 PolicyEngine 及运营方持有的 scope 配置，单次运行的 override 只能进一步收窄权限。</w:t>
      </w:r>
    </w:p>
    <w:p>
      <w:pPr>
        <w:pStyle w:val="Heading1"/>
      </w:pPr>
      <w:r>
        <w:t>2. 需求定义与设计目标</w:t>
      </w:r>
    </w:p>
    <w:p>
      <w:pPr>
        <w:pStyle w:val="Heading2"/>
      </w:pPr>
      <w:r>
        <w:t>2.1 问题定义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开放式安全任务的输入差异大，可能包含接口资料、日志、源码、二进制、压缩包和交互目标。固定脚本难以在证据不足、工具失败或假设被否定时调整路径；纯模型对话又不能作为权限边界，且其结论不一定可复核。系统因此需要同时解决以下问题：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将复杂任务拆解为可验证的计划与假设，而不是生成不可追溯的长篇思考过程。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将模型提出的每次行动限制在 operator-owned 的作用域、工具白名单和资源预算内。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对工具结果、策略判定、失败分类和人工修正建立可回放的事实链。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让终态结论、Flag 和 WP 均有结构化运行证据，避免由日志文字推断答案。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在运行数量增多时保持控制台可用，并保留完整历史详情。</w:t>
      </w:r>
    </w:p>
    <w:p>
      <w:pPr>
        <w:pStyle w:val="Heading2"/>
      </w:pPr>
      <w:r>
        <w:t>2.2 设计目标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96"/>
        <w:gridCol w:w="4032"/>
        <w:gridCol w:w="4032"/>
      </w:tblGrid>
      <w:tr>
        <w:trPr>
          <w:tblHeader w:val="true"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目标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设计响应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可复核依据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受约束自主性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计划、checkpoint、重复动作门禁和策略逐次判定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runtime.ts、policy.ts、审计链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最小权限执行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scope、程序 allowlist、逐 run scratch、无网络 sidecar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policy.ts、sandbox.ts、docker-compose.yml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证据可追溯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追加式 SHA-256 前向哈希审计；请求、判定、结果按调用 ID 关联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audit.ts、trace.ts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面向比赛的可解释性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Decision Observatory 展示事实投影、策略、证据、回放、分支和人工复核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frontend/src/pages/RunDetailPage.tsx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结论可交付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结构化 submission、严格验证闸门、终态 WP 生成与下载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submission-policy.ts、writeup-generator.ts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工程可维护性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模块化边界、确定性 faux-model 测试、npm run check 合并门禁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src/、test/、package.json</w:t>
            </w:r>
          </w:p>
        </w:tc>
      </w:tr>
    </w:tbl>
    <w:p>
      <w:pPr>
        <w:spacing w:after="60"/>
      </w:pPr>
    </w:p>
    <w:p>
      <w:pPr>
        <w:pStyle w:val="Heading1"/>
      </w:pPr>
      <w:r>
        <w:t>3. 总体架构</w:t>
      </w:r>
    </w:p>
    <w:p>
      <w:pPr>
        <w:spacing w:before="100" w:after="100"/>
        <w:ind w:left="173" w:right="173"/>
        <w:shd w:fill="F2F4F7"/>
      </w:pPr>
      <w:r>
        <w:rPr>
          <w:rFonts w:ascii="Arial Unicode MS" w:hAnsi="Arial Unicode MS" w:eastAsia="Arial Unicode MS" w:hint="eastAsia"/>
          <w:b/>
          <w:color w:val="1F4D78"/>
          <w:sz w:val="21"/>
          <w:lang w:eastAsia="zh-CN"/>
        </w:rPr>
        <w:t xml:space="preserve">流程示意  </w:t>
      </w:r>
      <w:r>
        <w:rPr>
          <w:rFonts w:ascii="Arial Unicode MS" w:hAnsi="Arial Unicode MS" w:eastAsia="Arial Unicode MS" w:hint="eastAsia"/>
          <w:color w:val="0B2545"/>
          <w:sz w:val="21"/>
          <w:lang w:eastAsia="zh-CN"/>
        </w:rPr>
        <w:t>任务与附件 → 输入归一化 → 计划与假设 → PolicyEngine → 受控工具与隔离执行 → 证据与 checkpoint → 结构化结论与审计。</w:t>
      </w:r>
    </w:p>
    <w:p>
      <w:pPr>
        <w:spacing w:after="4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系统采用“模型负责判断，策略负责约束，工具负责执行，证据负责验证，审计负责追溯”的职责分离。模型只可调用公开、结构化、有界的工具；策略层与执行层不相信模型自报的权限或结果。</w:t>
      </w:r>
    </w:p>
    <w:p>
      <w:pPr>
        <w:pStyle w:val="Heading2"/>
      </w:pPr>
      <w:r>
        <w:t>3.1 分层职责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196"/>
        <w:gridCol w:w="2967"/>
        <w:gridCol w:w="2297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层次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组件</w:t>
            </w:r>
          </w:p>
        </w:tc>
        <w:tc>
          <w:tcPr>
            <w:tcW w:type="dxa" w:w="29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主要职责</w:t>
            </w:r>
          </w:p>
        </w:tc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边界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输入层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input.ts、附件工作区</w:t>
            </w:r>
          </w:p>
        </w:tc>
        <w:tc>
          <w:tcPr>
            <w:tcW w:type="dxa" w:w="29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归一化任务和附件；限制体积；建立只读 inputs/</w:t>
            </w:r>
          </w:p>
        </w:tc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不执行附件内容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决策层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runtime.ts、计划/假设/checkpoint</w:t>
            </w:r>
          </w:p>
        </w:tc>
        <w:tc>
          <w:tcPr>
            <w:tcW w:type="dxa" w:w="29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驱动状态机，依据公开证据选择下一步</w:t>
            </w:r>
          </w:p>
        </w:tc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不直接绕过策略调用资源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策略层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PolicyEngine、预算、Permission Gate</w:t>
            </w:r>
          </w:p>
        </w:tc>
        <w:tc>
          <w:tcPr>
            <w:tcW w:type="dxa" w:w="29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校验主机、端口、路径、程序、模式、重复动作与停止条件</w:t>
            </w:r>
          </w:p>
        </w:tc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不信任模型提供的范围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执行层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tools.ts、sandbox.ts、HTTP/TCP/Browser</w:t>
            </w:r>
          </w:p>
        </w:tc>
        <w:tc>
          <w:tcPr>
            <w:tcW w:type="dxa" w:w="29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运行有界、可取消的观察或动作</w:t>
            </w:r>
          </w:p>
        </w:tc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不自行扩大网络或程序能力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事实层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audit.ts、findings、handoff</w:t>
            </w:r>
          </w:p>
        </w:tc>
        <w:tc>
          <w:tcPr>
            <w:tcW w:type="dxa" w:w="29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记录可关联、脱敏、可验证的事实</w:t>
            </w:r>
          </w:p>
        </w:tc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不保存密钥、Cookie、授权头或隐藏推理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展示层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React Decision Observatory</w:t>
            </w:r>
          </w:p>
        </w:tc>
        <w:tc>
          <w:tcPr>
            <w:tcW w:type="dxa" w:w="29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将同一事实源投影为任务、决策、证据、策略和结论</w:t>
            </w:r>
          </w:p>
        </w:tc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不猜测未记录的模型思维</w:t>
            </w:r>
          </w:p>
        </w:tc>
      </w:tr>
    </w:tbl>
    <w:p>
      <w:pPr>
        <w:spacing w:after="60"/>
      </w:pPr>
    </w:p>
    <w:p>
      <w:pPr>
        <w:pStyle w:val="Heading1"/>
      </w:pPr>
      <w:r>
        <w:t>4. 核心运行闭环</w:t>
      </w:r>
    </w:p>
    <w:p>
      <w:pPr>
        <w:spacing w:before="100" w:after="100"/>
        <w:ind w:left="173" w:right="173"/>
        <w:shd w:fill="F2F4F7"/>
      </w:pPr>
      <w:r>
        <w:rPr>
          <w:rFonts w:ascii="Arial Unicode MS" w:hAnsi="Arial Unicode MS" w:eastAsia="Arial Unicode MS" w:hint="eastAsia"/>
          <w:b/>
          <w:color w:val="1F4D78"/>
          <w:sz w:val="21"/>
          <w:lang w:eastAsia="zh-CN"/>
        </w:rPr>
        <w:t xml:space="preserve">流程示意  </w:t>
      </w:r>
      <w:r>
        <w:rPr>
          <w:rFonts w:ascii="Arial Unicode MS" w:hAnsi="Arial Unicode MS" w:eastAsia="Arial Unicode MS" w:hint="eastAsia"/>
          <w:color w:val="0B2545"/>
          <w:sz w:val="21"/>
          <w:lang w:eastAsia="zh-CN"/>
        </w:rPr>
        <w:t>任务与附件 → 输入归一化 → 计划与假设 → PolicyEngine → 受控工具与隔离执行 → 证据与 checkpoint → 结构化结论与审计。</w:t>
      </w:r>
    </w:p>
    <w:p>
      <w:pPr>
        <w:spacing w:after="40"/>
      </w:pP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计划先行。 调查动作前必须提交计划，包含目标、成功标准、待验证假设和候选工具。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逐次门禁。 每个工具调用都经过 PolicyEngine。它核验 scope、路径、程序、网络端点、次数、字节、时间和重复动作，返回允许或拒绝原因。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有界执行。 工具采用结构化输入和限长输出；可能阻塞的操作接受 AbortSignal，可由超时、预算耗尽或人工停止取消。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证据驱动修订。 当出现空结果、工具故障、策略拒绝、矛盾证据或连续无进展时，运行进入 checkpoint。后续调查动作必须先说明失败分类、计划变化、下一步和依据。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验证后收敛。 record_finding 记录证据与置信度；finish_task 写入完成或阻塞状态。严格提交任务的候选值须在成功工具输出中出现，并由独立验证文本逐字支持。</w:t>
      </w:r>
    </w:p>
    <w:p>
      <w:pPr>
        <w:pStyle w:val="Heading1"/>
      </w:pPr>
      <w:r>
        <w:t>5. 安全控制与数据保护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16"/>
        <w:gridCol w:w="4095"/>
        <w:gridCol w:w="3949"/>
      </w:tblGrid>
      <w:tr>
        <w:trPr>
          <w:tblHeader w:val="true"/>
        </w:trPr>
        <w:tc>
          <w:tcPr>
            <w:tcW w:type="dxa" w:w="1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风险</w:t>
            </w:r>
          </w:p>
        </w:tc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控制机制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可审计信号</w:t>
            </w:r>
          </w:p>
        </w:tc>
      </w:tr>
      <w:tr>
        <w:tc>
          <w:tcPr>
            <w:tcW w:type="dxa" w:w="1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作用域扩张</w:t>
            </w:r>
          </w:p>
        </w:tc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scope 由 operator 配置；per-run override 仅能收窄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policy.decision</w:t>
            </w:r>
          </w:p>
        </w:tc>
      </w:tr>
      <w:tr>
        <w:tc>
          <w:tcPr>
            <w:tcW w:type="dxa" w:w="1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未授权网络</w:t>
            </w:r>
          </w:p>
        </w:tc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HTTP、TCP、Browser 均逐次通过 PolicyEngine；sidecar 无网络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permission / policy 事件</w:t>
            </w:r>
          </w:p>
        </w:tc>
      </w:tr>
      <w:tr>
        <w:tc>
          <w:tcPr>
            <w:tcW w:type="dxa" w:w="1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命令注入</w:t>
            </w:r>
          </w:p>
        </w:tc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sidecar 使用 spawn(program, args)，不经 Shell；程序须在 allowlist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tool.requested、tool.result</w:t>
            </w:r>
          </w:p>
        </w:tc>
      </w:tr>
      <w:tr>
        <w:tc>
          <w:tcPr>
            <w:tcW w:type="dxa" w:w="1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附件攻击与资源耗尽</w:t>
            </w:r>
          </w:p>
        </w:tc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输入、ZIP、扫描前缀、输出、轮次、文件和运行时间均受上限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策略拒绝、截断与错误分类</w:t>
            </w:r>
          </w:p>
        </w:tc>
      </w:tr>
      <w:tr>
        <w:tc>
          <w:tcPr>
            <w:tcW w:type="dxa" w:w="1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无效循环</w:t>
            </w:r>
          </w:p>
        </w:tc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相同调用阈值、连续动作阈值、checkpoint 和策略修订门禁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checkpoint / revision 事件</w:t>
            </w:r>
          </w:p>
        </w:tc>
      </w:tr>
      <w:tr>
        <w:tc>
          <w:tcPr>
            <w:tcW w:type="dxa" w:w="1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跨题污染</w:t>
            </w:r>
          </w:p>
        </w:tc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每个 run 独立 scratch/HOME/TMPDIR；附件只读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run 级目录和工具结果</w:t>
            </w:r>
          </w:p>
        </w:tc>
      </w:tr>
      <w:tr>
        <w:tc>
          <w:tcPr>
            <w:tcW w:type="dxa" w:w="1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敏感信息泄露</w:t>
            </w:r>
          </w:p>
        </w:tc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统一脱敏；不写入 Key、Authorization、Cookie、图片像素或隐藏推理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运行产物检查、审计内容</w:t>
            </w:r>
          </w:p>
        </w:tc>
      </w:tr>
      <w:tr>
        <w:tc>
          <w:tcPr>
            <w:tcW w:type="dxa" w:w="1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恢复重放副作用</w:t>
            </w:r>
          </w:p>
        </w:tc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启动恢复只结算遗留状态，不自动重放未知副作用调用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run.recovered_after_restart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audit.jsonl 是运行事实源，采用顺序事件与 SHA-256 前向哈希。tool.requested、policy.decision 与 tool.result 使用同一工具调用 ID 关联；人工复核单独写入 reviews.jsonl，不修改原始事实链。恢复、回放和分支仅继承公开且已脱敏的轨迹投影。</w:t>
      </w:r>
    </w:p>
    <w:p>
      <w:pPr>
        <w:pStyle w:val="Heading1"/>
      </w:pPr>
      <w:r>
        <w:t>6. 关键功能设计</w:t>
      </w:r>
    </w:p>
    <w:p>
      <w:pPr>
        <w:pStyle w:val="Heading2"/>
      </w:pPr>
      <w:r>
        <w:t>6.1 决策观测台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运行详情页不是聊天窗口，而是基于真实状态和审计事件的 Decision Observatory。它展示任务状态、阶段、当前行动、计划与假设、策略判定、工具观察、证据图、策略修订、回放、分支、续接和人工复核。界面只解释“做什么、为什么、影响、结果、下一步”等可复核事实，不展示、持久化或推断隐藏 Chain of Thought。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前端从同一事件流构造决策时间线：技术事件保留可审计性，面向操作者的投影提供可读标签。事件按稳定序号回放，SSE 支持断线补收；重连后的 reducer 去重，避免将重复事件误显示为新的行动。</w:t>
      </w:r>
    </w:p>
    <w:p>
      <w:pPr>
        <w:pStyle w:val="Heading2"/>
      </w:pPr>
      <w:r>
        <w:t>6.2 结论、Flag 与 WP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运行结束后，页面在“运行总结结论”区域展示 finish_task 产生的结构化 summary 和 submission。识别为 CTF 结果时，Flag 独立且醒目展示。该结论来自运行状态及验证记录，不从自由文本或日志猜测。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终态运行可以下载已有 WP；没有存储 WP 时，操作者可请求独立的生成步骤。生成器仅接收规范化任务、结构化状态、公开 transcript、受限工具结果、findings 和 verification，不接收隐藏推理或敏感凭据。文档会校验 YAML 元数据、Summary、Solution、完整可运行脚本、精确 Flag 和长度；最多两次尝试，失败时保留脱敏的结构化兼容报告而不伪造解题过程。</w:t>
      </w:r>
    </w:p>
    <w:p>
      <w:pPr>
        <w:pStyle w:val="Heading2"/>
      </w:pPr>
      <w:r>
        <w:t>6.3 运行历史可用性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每个持久运行同时保存完整 state.json 与轻量 summary.json。运行列表优先读取摘要，旧运行缺失摘要时以“正在索引”状态返回并在后台补齐；打开详情仍读取完整状态和审计轨迹。这一设计将列表扫描与详情载入分离，避免大量历史产物阻塞控制台，同时保持历史事实不被列表索引改写。</w:t>
      </w:r>
    </w:p>
    <w:p>
      <w:pPr>
        <w:pStyle w:val="Heading2"/>
      </w:pPr>
      <w:r>
        <w:t>6.4 附件与本地分析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控制台支持点击选择和拖拽附件。附件被复制到本次运行的只读输入边界。extract_archive 只将 ZIP 解压到当前 scratch，限制 500 个条目和 32 MiB，拒绝路径穿越与符号链接；search_artifact 在最多 16 MiB 前缀中进行 UTF-8 或十六进制搜索，限制模式、命中数与上下文。二进制、逆向、密码与取证工具通过受控的 run_command 使用，仍受程序 allowlist、输出、超时和 checkpoint 约束。</w:t>
      </w:r>
    </w:p>
    <w:p>
      <w:pPr>
        <w:pStyle w:val="Heading1"/>
      </w:pPr>
      <w:r>
        <w:t>7. 可扩展性设计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新增模型可调用工具必须满足以下交付契约：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TypeBox 输入模式、明确的输出上限和错误语义；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对阻塞工作完整传播 AbortSignal；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经 PolicyEngine 与 operator-owned scope 授权，且明确预算消耗；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可关联的策略和工具审计事件；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策略、预算、取消行为的确定性测试；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在 docs/tool-side-effects.md 记录副作用、数据边界和人工操作要求。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Sandbox program 不是绕过策略的新工具。它必须同时存在于镜像能力清单、operator allowlist 与 sandbox health 结果中，才可由 run_command 调用。真实模型评测不进入默认回归路径，应以 opt-in evaluation suite 固定数据、模型、预算、环境和轨迹引用。</w:t>
      </w:r>
    </w:p>
    <w:p>
      <w:pPr>
        <w:pStyle w:val="Heading1"/>
      </w:pPr>
      <w:r>
        <w:t>8. 创新点与可追溯关系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42"/>
        <w:gridCol w:w="4944"/>
        <w:gridCol w:w="2474"/>
      </w:tblGrid>
      <w:tr>
        <w:trPr>
          <w:tblHeader w:val="true"/>
        </w:trPr>
        <w:tc>
          <w:tcPr>
            <w:tcW w:type="dxa" w:w="1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创新点</w:t>
            </w:r>
          </w:p>
        </w:tc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工程实现</w:t>
            </w:r>
          </w:p>
        </w:tc>
        <w:tc>
          <w:tcPr>
            <w:tcW w:type="dxa" w:w="2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对应价值</w:t>
            </w:r>
          </w:p>
        </w:tc>
      </w:tr>
      <w:tr>
        <w:tc>
          <w:tcPr>
            <w:tcW w:type="dxa" w:w="1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约束优先的自主性</w:t>
            </w:r>
          </w:p>
        </w:tc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模型请求与策略执行分离；计划、checkpoint 和停滞门禁</w:t>
            </w:r>
          </w:p>
        </w:tc>
        <w:tc>
          <w:tcPr>
            <w:tcW w:type="dxa" w:w="2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自主调整不等于无边界执行</w:t>
            </w:r>
          </w:p>
        </w:tc>
      </w:tr>
      <w:tr>
        <w:tc>
          <w:tcPr>
            <w:tcW w:type="dxa" w:w="1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轨迹即事实源</w:t>
            </w:r>
          </w:p>
        </w:tc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单一追加式审计链支撑审计、解释、回放、恢复与分支</w:t>
            </w:r>
          </w:p>
        </w:tc>
        <w:tc>
          <w:tcPr>
            <w:tcW w:type="dxa" w:w="2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降低多套日志不一致风险</w:t>
            </w:r>
          </w:p>
        </w:tc>
      </w:tr>
      <w:tr>
        <w:tc>
          <w:tcPr>
            <w:tcW w:type="dxa" w:w="1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可治理的工具扩展</w:t>
            </w:r>
          </w:p>
        </w:tc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新工具的策略、预算、审计、取消和文档门槛</w:t>
            </w:r>
          </w:p>
        </w:tc>
        <w:tc>
          <w:tcPr>
            <w:tcW w:type="dxa" w:w="2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让能力扩展保持可控、可测</w:t>
            </w:r>
          </w:p>
        </w:tc>
      </w:tr>
      <w:tr>
        <w:tc>
          <w:tcPr>
            <w:tcW w:type="dxa" w:w="1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提交与 WP 证据闭环</w:t>
            </w:r>
          </w:p>
        </w:tc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严格 submission 闸门、最终结论、Flag 显示、结构化 WP</w:t>
            </w:r>
          </w:p>
        </w:tc>
        <w:tc>
          <w:tcPr>
            <w:tcW w:type="dxa" w:w="2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面向竞赛交付的可复核结果表达</w:t>
            </w:r>
          </w:p>
        </w:tc>
      </w:tr>
      <w:tr>
        <w:tc>
          <w:tcPr>
            <w:tcW w:type="dxa" w:w="1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兼顾规模的历史审计</w:t>
            </w:r>
          </w:p>
        </w:tc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完整状态与轻量摘要双层持久化</w:t>
            </w:r>
          </w:p>
        </w:tc>
        <w:tc>
          <w:tcPr>
            <w:tcW w:type="dxa" w:w="2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历史运行增多仍可快速检索</w:t>
            </w:r>
          </w:p>
        </w:tc>
      </w:tr>
    </w:tbl>
    <w:p>
      <w:pPr>
        <w:spacing w:after="60"/>
      </w:pPr>
    </w:p>
    <w:p>
      <w:pPr>
        <w:pStyle w:val="Heading1"/>
      </w:pPr>
      <w:r>
        <w:t>9. 需求追溯矩阵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66"/>
        <w:gridCol w:w="3590"/>
        <w:gridCol w:w="2564"/>
        <w:gridCol w:w="1540"/>
      </w:tblGrid>
      <w:tr>
        <w:trPr>
          <w:tblHeader w:val="true"/>
        </w:trPr>
        <w:tc>
          <w:tcPr>
            <w:tcW w:type="dxa" w:w="16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需求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实现模块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验证入口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交付材料</w:t>
            </w:r>
          </w:p>
        </w:tc>
      </w:tr>
      <w:tr>
        <w:tc>
          <w:tcPr>
            <w:tcW w:type="dxa" w:w="16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自主规划、执行、验证和纠错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runtime.ts、计划/假设/checkpoint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npm run check 的运行时测试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本文、开发文档、技术报告</w:t>
            </w:r>
          </w:p>
        </w:tc>
      </w:tr>
      <w:tr>
        <w:tc>
          <w:tcPr>
            <w:tcW w:type="dxa" w:w="16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网络与命令安全边界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policy.ts、tools.ts、sandbox.ts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策略/预算/sidecar 测试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架构文档、测试报告</w:t>
            </w:r>
          </w:p>
        </w:tc>
      </w:tr>
      <w:tr>
        <w:tc>
          <w:tcPr>
            <w:tcW w:type="dxa" w:w="16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决策可解释与可回放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audit.ts、trace.ts、前端投影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轨迹投影测试与前端构建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用户部署手册</w:t>
            </w:r>
          </w:p>
        </w:tc>
      </w:tr>
      <w:tr>
        <w:tc>
          <w:tcPr>
            <w:tcW w:type="dxa" w:w="16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Flag、结论与 WP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submission-policy.ts、writeup-generator.ts、Run Detail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严格提交和写作生成测试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用户部署手册</w:t>
            </w:r>
          </w:p>
        </w:tc>
      </w:tr>
      <w:tr>
        <w:tc>
          <w:tcPr>
            <w:tcW w:type="dxa" w:w="16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运行历史性能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run-summary.ts、trace.ts、Runs 页面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运行摘要和恢复测试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开发文档、测试报告</w:t>
            </w:r>
          </w:p>
        </w:tc>
      </w:tr>
      <w:tr>
        <w:tc>
          <w:tcPr>
            <w:tcW w:type="dxa" w:w="16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一键部署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Dockerfile、Compose、start.command、start.bat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Compose 配置解析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用户部署手册</w:t>
            </w:r>
          </w:p>
        </w:tc>
      </w:tr>
    </w:tbl>
    <w:p>
      <w:pPr>
        <w:spacing w:after="60"/>
      </w:pPr>
    </w:p>
    <w:p>
      <w:pPr>
        <w:pStyle w:val="Heading1"/>
      </w:pPr>
      <w:r>
        <w:t>10. 设计结论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烛龙·玄枢的核心不是让模型“多做动作”，而是将可调整的模型决策放在不可绕过的运行时约束中。由此形成的计划、策略、工具、证据、结论和审计闭环，使系统能够在授权场景下展示自主决策能力，同时保留安全边界、可解释性和比赛交付所需的复核条件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详细模块职责、威胁模型和副作用矩阵分别见 系统架构、工具副作用与审计契约 和 评测协议。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hint="eastAsia"/>
        <w:color w:val="5D6B7A"/>
        <w:sz w:val="16"/>
        <w:lang w:eastAsia="zh-CN"/>
      </w:rPr>
      <w:t xml:space="preserve">XH-202609  |  第 </w:t>
    </w:r>
    <w:r>
      <w:fldChar w:fldCharType="begin"/>
      <w:instrText xml:space="preserve">PAGE</w:instrText>
      <w:fldChar w:fldCharType="end"/>
    </w:r>
    <w:r>
      <w:rPr>
        <w:rFonts w:ascii="Arial Unicode MS" w:hAnsi="Arial Unicode MS" w:eastAsia="Arial Unicode MS" w:hint="eastAsia"/>
        <w:color w:val="5D6B7A"/>
        <w:sz w:val="16"/>
        <w:lang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6" w:color="B7C4D4"/>
      </w:pBdr>
    </w:pPr>
    <w:r>
      <w:rPr>
        <w:rFonts w:ascii="Arial Unicode MS" w:hAnsi="Arial Unicode MS" w:eastAsia="Arial Unicode MS" w:hint="eastAsia"/>
        <w:b/>
        <w:color w:val="5D6B7A"/>
        <w:sz w:val="17"/>
        <w:lang w:eastAsia="zh-CN"/>
      </w:rPr>
      <w:t>烛龙·玄枢 | XH-202609 竞赛提交材料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Calibri" w:hAnsi="Calibri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Calibri" w:hAnsi="Calibri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keepNext/>
      <w:spacing w:before="120" w:after="80"/>
    </w:pPr>
    <w:rPr>
      <w:rFonts w:ascii="Arial Unicode MS" w:hAnsi="Arial Unicode MS" w:eastAsia="Arial Unicode MS"/>
      <w:b/>
      <w:color w:val="0B2545"/>
      <w:sz w:val="48"/>
    </w:rPr>
  </w:style>
  <w:style w:type="paragraph" w:customStyle="1" w:styleId="DocumentSubtitle">
    <w:name w:val="Document Subtitle"/>
    <w:pPr>
      <w:spacing w:after="360"/>
    </w:pPr>
    <w:rPr>
      <w:rFonts w:ascii="Arial Unicode MS" w:hAnsi="Arial Unicode MS" w:eastAsia="Arial Unicode MS"/>
      <w:color w:val="5D6B7A"/>
      <w:sz w:val="20"/>
    </w:rPr>
  </w:style>
  <w:style w:type="paragraph" w:customStyle="1" w:styleId="CodeBlock">
    <w:name w:val="Code Block"/>
    <w:pPr>
      <w:spacing w:before="100" w:after="100"/>
      <w:ind w:left="230" w:right="230"/>
    </w:pPr>
    <w:rPr>
      <w:rFonts w:ascii="Courier New" w:hAnsi="Courier New" w:eastAsia="Arial Unicode M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方案设计文档</dc:title>
  <dc:subject>XH-202609 竞赛提交材料</dc:subject>
  <dc:creator>ZhuLong XuanShu Team</dc:creator>
  <cp:keywords/>
  <dc:description>由仓库 Markdown 源文档生成；不含模型密钥、平台令牌、Cookie、Authorization 或隐藏推理。</dc:description>
  <cp:lastModifiedBy/>
  <cp:revision>1</cp:revision>
  <dcterms:created xsi:type="dcterms:W3CDTF">2026-08-31T00:00:00Z</dcterms:created>
  <dcterms:modified xsi:type="dcterms:W3CDTF">2026-08-31T00:00:00Z</dcterms:modified>
  <cp:category/>
</cp:coreProperties>
</file>