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 Unicode MS" w:hAnsi="Arial Unicode MS" w:eastAsia="Arial Unicode MS" w:hint="eastAsia"/>
          <w:b/>
          <w:color w:val="2E74B5"/>
          <w:sz w:val="18"/>
          <w:lang w:eastAsia="zh-CN"/>
        </w:rPr>
        <w:t>XH-202609 竞赛提交材料</w:t>
      </w:r>
    </w:p>
    <w:p>
      <w:pPr>
        <w:pStyle w:val="DocumentTitle"/>
      </w:pPr>
      <w:r>
        <w:t>开发文档</w:t>
      </w:r>
    </w:p>
    <w:p>
      <w:pPr>
        <w:pStyle w:val="DocumentSubtitle"/>
      </w:pPr>
      <w:r>
        <w:t>烛龙·玄枢（ZhuLong XuanShu）——具备自主决策能力的通用网络安全智能体</w:t>
      </w:r>
    </w:p>
    <w:p>
      <w:pPr>
        <w:spacing w:after="280"/>
        <w:pBdr>
          <w:bottom w:val="single" w:sz="6" w:space="6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48"/>
        <w:gridCol w:w="6512"/>
      </w:tblGrid>
      <w:tr>
        <w:trPr>
          <w:tblHeader w:val="true"/>
        </w:trPr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项目</w:t>
            </w:r>
          </w:p>
        </w:tc>
        <w:tc>
          <w:tcPr>
            <w:tcW w:type="dxa" w:w="6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内容</w:t>
            </w:r>
          </w:p>
        </w:tc>
      </w:tr>
      <w:tr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文档编号</w:t>
            </w:r>
          </w:p>
        </w:tc>
        <w:tc>
          <w:tcPr>
            <w:tcW w:type="dxa" w:w="6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XH-202609-02</w:t>
            </w:r>
          </w:p>
        </w:tc>
      </w:tr>
      <w:tr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版本</w:t>
            </w:r>
          </w:p>
        </w:tc>
        <w:tc>
          <w:tcPr>
            <w:tcW w:type="dxa" w:w="6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1.0</w:t>
            </w:r>
          </w:p>
        </w:tc>
      </w:tr>
      <w:tr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对应代码基线</w:t>
            </w:r>
          </w:p>
        </w:tc>
        <w:tc>
          <w:tcPr>
            <w:tcW w:type="dxa" w:w="6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723f047（main）</w:t>
            </w:r>
          </w:p>
        </w:tc>
      </w:tr>
      <w:tr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读者</w:t>
            </w:r>
          </w:p>
        </w:tc>
        <w:tc>
          <w:tcPr>
            <w:tcW w:type="dxa" w:w="6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开发人员、测试人员、部署维护人员</w:t>
            </w:r>
          </w:p>
        </w:tc>
      </w:tr>
      <w:tr>
        <w:tc>
          <w:tcPr>
            <w:tcW w:type="dxa" w:w="28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编制日期</w:t>
            </w:r>
          </w:p>
        </w:tc>
        <w:tc>
          <w:tcPr>
            <w:tcW w:type="dxa" w:w="6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2026-08-31</w:t>
            </w:r>
          </w:p>
        </w:tc>
      </w:tr>
    </w:tbl>
    <w:p>
      <w:pPr>
        <w:spacing w:after="60"/>
      </w:pPr>
    </w:p>
    <w:p>
      <w:pPr>
        <w:pStyle w:val="Heading1"/>
      </w:pPr>
      <w:r>
        <w:t>1. 开发原则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本项目是安全智能体运行时，模型不是安全边界。开发工作必须遵守以下不变量：核心任务循环保持领域中立；所有主动网络能力经 PolicyEngine 和 operator-owned scope；单次运行不能扩权；可能阻塞的工具接受 AbortSignal 且返回有界输出；运行产物不保存模型 Key、Authorization、Cookie 或隐藏推理。npm run check 是唯一合并门禁。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编排行为的回归测试只使用确定性 faux-model 或 faux-runner。真实模型和真实目标测试属于显式启用的评测套件，不可替代单元测试，也不可把题目特例、站点选择器、固定 Flag 或答案模板写入通用运行时。</w:t>
      </w:r>
    </w:p>
    <w:p>
      <w:pPr>
        <w:pStyle w:val="Heading1"/>
      </w:pPr>
      <w:r>
        <w:t>2. 环境与依赖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项目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要求或说明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Node.js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&gt;=22.19.0；本次验证使用 v26.3.0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包管理器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npm，依赖版本以 lockfile 为准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后端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TypeScript、ESM、Node HTTP 服务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前端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React 19、TypeScript、Vite、React Router、TanStack Query、XYFlow、Lucide、原生 CSS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测试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Vitest、TypeScript、ESLint；默认无真实模型请求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可选隔离环境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Podman / Docker Compose，提供无外网 CTF sandbox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安装依赖：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npm ci --legacy-peer-deps --ignore-scripts</w:t>
        <w:br/>
        <w:t>npm --prefix frontend ci --ignore-scripts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本地模型密钥只能保存在被 Git 忽略的 .env 或 operator 私有环境中：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cp .env.example .env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严禁将 .env、运行目录、私有 scope、附件、平台 Token、Cookie、Authorization 或题目答案暂存、提交或放入测试截图。</w:t>
      </w:r>
    </w:p>
    <w:p>
      <w:pPr>
        <w:pStyle w:val="Heading1"/>
      </w:pPr>
      <w:r>
        <w:t>3. 代码结构与模块边界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3276"/>
        <w:gridCol w:w="3276"/>
      </w:tblGrid>
      <w:tr>
        <w:trPr>
          <w:tblHeader w:val="true"/>
        </w:trP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路径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职责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关键约束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src/runtime.ts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任务生命周期、状态转换、持久化、工具清理和终态处理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不绕过策略执行工具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src/policy.ts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scope、路径/主机/端口/程序、预算、重复动作与停滞门禁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不相信模型自报范围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src/tools.ts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有界 AgentTool 总线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每个调用产生可关联审计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src/sandbox.ts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Unix socket sidecar 和结构化命令协议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spawn(program, args)；不使用 Shell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src/audit.ts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顺序事件与 SHA-256 前向哈希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原始事实不可被人工复核覆盖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src/trace.ts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审计投影、持久化加载、历史运行列表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详情读取完整状态，列表读取轻量摘要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src/run-summary.ts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summary.json 投影与格式校验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仅保存脱敏、限长列表字段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src/run-recovery.ts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服务重启后的遗留运行结算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no-replay，避免重复副作用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src/submission-policy.ts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严格任务的候选值与独立验证闸门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不从自由文本推断 submission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src/writeup-generator.ts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终态运行的受限 WP 生成、验证和重试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不暴露隐藏推理或敏感凭据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src/server.ts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健康检查、认证、运行、设置、复核和 WP API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控制面不允许远程扩权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frontend/src/features/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决策流、证据图、策略、实时合并和 WP 投影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只消费真实状态和审计事件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frontend/src/pages/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控制台、运行详情、模型设置等页面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不以 UI 推断隐藏思维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test/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faux-model 与策略、预算、审计、恢复回归测试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默认不得调用真实模型或真实目标</w:t>
            </w:r>
          </w:p>
        </w:tc>
      </w:tr>
    </w:tbl>
    <w:p>
      <w:pPr>
        <w:spacing w:after="60"/>
      </w:pPr>
    </w:p>
    <w:p>
      <w:pPr>
        <w:pStyle w:val="Heading1"/>
      </w:pPr>
      <w:r>
        <w:t>4. 本地开发流程</w:t>
      </w:r>
    </w:p>
    <w:p>
      <w:pPr>
        <w:pStyle w:val="Heading2"/>
      </w:pPr>
      <w:r>
        <w:t>4.1 后端与 sandbox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# 后端开发服务</w:t>
        <w:br/>
        <w:t>npm run serve</w:t>
        <w:br/>
        <w:br/>
        <w:t># 另开终端，按需启动本地加固 sandbox</w:t>
        <w:br/>
        <w:t>mkdir -p workspace .xuan-shu/work</w:t>
        <w:br/>
        <w:t>sh tools/ctf/run-local-sandbox.sh</w:t>
        <w:br/>
        <w:t>npm run sandbox-health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本地服务默认地址为 http://127.0.0.1:7318/。绑定非回环地址时必须提供 XUANSHU_SERVER_TOKEN。sandbox 仅执行 operator allowlist 中的结构化程序；命令输出和等待时间由运行时预算限制。</w:t>
      </w:r>
    </w:p>
    <w:p>
      <w:pPr>
        <w:pStyle w:val="Heading2"/>
      </w:pPr>
      <w:r>
        <w:t>4.2 前端开发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npm --prefix frontend run dev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Vite 开发服务默认位于 http://127.0.0.1:5173/，并代理本地 API。Run Detail 的事实来源是 /v1/runs/:id、/trace 与 SSE 事件；修改投影逻辑时，应同时检查实时合并、历史回放、策略拒绝和终态结论场景。</w:t>
      </w:r>
    </w:p>
    <w:p>
      <w:pPr>
        <w:pStyle w:val="Heading2"/>
      </w:pPr>
      <w:r>
        <w:t>4.3 模型接入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控制台的“模型设置”页可为当前 API 进程临时配置 OpenAI-compatible Base URL、API 类型、模型/部署 ID、API Key、可选 AppKey 和推理格式。页面配置只在进程内存中保存，不写入浏览器持久存储、审计链或运行产物，服务重启后失效。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无人值守环境应使用被忽略的私有 overlay 和环境变量。模型或网关配置不能包含在公共 YAML、文档示例、截图或 Git 历史中。有关默认字段和安全边界见 模型设置。</w:t>
      </w:r>
    </w:p>
    <w:p>
      <w:pPr>
        <w:pStyle w:val="Heading1"/>
      </w:pPr>
      <w:r>
        <w:t>5. 新工具与新能力的工程门禁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新增模型可调用工具必须在同一改动中完成：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定义 TypeBox 输入模式、明确的错误语义和输出上限。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为所有等待、I/O、子进程或网络操作接入并传播 AbortSignal。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 PolicyEngine 中定义 scope、路径、主机、端口、程序和预算规则；不得以工具内部代码创建绕过通道。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写入带调用关联 ID 的策略决策和工具结果审计事件。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使用确定性测试覆盖允许、拒绝、预算耗尽、取消和错误分类。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更新 工具副作用与审计契约，说明读写范围、网络影响、资源风险和人工前置条件。</w:t>
      </w:r>
    </w:p>
    <w:p>
      <w:pPr>
        <w:pStyle w:val="ListNumber"/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在前端轨迹中为新事件提供可读、事实性的投影，而不是模拟模型思维。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新增 sandbox program 还需同步更新锁定依赖、tools/ctf/capabilities.json、operator allowlist、构建期 smoke check 和 sandbox health。程序安装并不自动授予运行时权限。</w:t>
      </w:r>
    </w:p>
    <w:p>
      <w:pPr>
        <w:pStyle w:val="Heading1"/>
      </w:pPr>
      <w:r>
        <w:t>6. 持久化、恢复与兼容性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每个运行的完整事实保存在 .xuan-shu/runs/&lt;run-id&gt;/。关键文件包括 state.json、findings.json、transcript.json、audit.jsonl、reviews.jsonl 和脱敏 handoff.md。完整状态用于详情、回放和审计；summary.json 是面向运行列表的轻量索引，包含 ID、状态、阶段、截断任务摘要、时间、回合数、工具数、经验数和血缘信息。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723f047 引入摘要优先列表读取：历史运行不存在或损坏摘要时，列表返回 indexing 占位并异步回填摘要；不会删除或重写原 state.json。服务启动时，run-recovery.ts 对遗留 queued/running 状态追加恢复事件并结算为 aborted，不会重放无法确认完成情况的工具调用。开发修改持久化格式时必须保持此恢复和降级语义，并补充兼容测试。</w:t>
      </w:r>
    </w:p>
    <w:p>
      <w:pPr>
        <w:pStyle w:val="Heading1"/>
      </w:pPr>
      <w:r>
        <w:t>7. 测试与质量门禁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日常修改至少执行：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git diff --check</w:t>
        <w:br/>
        <w:t>npm run check</w:t>
        <w:br/>
        <w:t>npm --prefix frontend run build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npm run check 顺序执行 typecheck、ESLint、确定性 Vitest 测试和后端生产构建。仓库测试命令使用 --no-file-parallelism，以降低 sandbox 健康探针并发启动造成的非确定性超时。需要验证 Compose 语法时执行：</w:t>
      </w:r>
    </w:p>
    <w:p>
      <w:pPr>
        <w:pStyle w:val="CodeBlock"/>
        <w:spacing w:before="100" w:after="0"/>
        <w:ind w:left="230" w:right="230"/>
        <w:shd w:fill="F7F8FA"/>
      </w:pPr>
      <w:r>
        <w:rPr>
          <w:rFonts w:ascii="Courier New" w:hAnsi="Courier New" w:eastAsia="Arial Unicode MS" w:hint="eastAsia"/>
          <w:color w:val="263238"/>
          <w:sz w:val="17"/>
          <w:lang w:eastAsia="zh-CN"/>
        </w:rPr>
        <w:t>XUANSHU_SERVER_TOKEN=validation-only docker-compose config</w:t>
      </w:r>
    </w:p>
    <w:p>
      <w:pPr>
        <w:spacing w:after="20"/>
      </w:pP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有可连接容器引擎的交付环境还应完成 podman compose up -d --build（或等价 Compose provider）、sandbox/API health、页面登录和一次只读运行的冒烟测试，并记录镜像摘要。不要把配置解析成功表述为镜像构建或容器启动成功。</w:t>
      </w:r>
    </w:p>
    <w:p>
      <w:pPr>
        <w:pStyle w:val="Heading1"/>
      </w:pPr>
      <w:r>
        <w:t>8. 调试与故障定位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36"/>
        <w:gridCol w:w="3911"/>
        <w:gridCol w:w="3913"/>
      </w:tblGrid>
      <w:tr>
        <w:trPr>
          <w:tblHeader w:val="true"/>
        </w:trPr>
        <w:tc>
          <w:tcPr>
            <w:tcW w:type="dxa" w:w="1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现象</w:t>
            </w:r>
          </w:p>
        </w:tc>
        <w:tc>
          <w:tcPr>
            <w:tcW w:type="dxa" w:w="3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优先检查</w:t>
            </w:r>
          </w:p>
        </w:tc>
        <w:tc>
          <w:tcPr>
            <w:tcW w:type="dxa" w:w="3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/>
                <w:color w:val="0B2545"/>
                <w:sz w:val="19"/>
                <w:lang w:eastAsia="zh-CN"/>
              </w:rPr>
              <w:t>处理原则</w:t>
            </w:r>
          </w:p>
        </w:tc>
      </w:tr>
      <w:tr>
        <w:tc>
          <w:tcPr>
            <w:tcW w:type="dxa" w:w="1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工具请求被拒绝</w:t>
            </w:r>
          </w:p>
        </w:tc>
        <w:tc>
          <w:tcPr>
            <w:tcW w:type="dxa" w:w="3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运行的 policy 事件、scope、allowlist、预算、重复动作</w:t>
            </w:r>
          </w:p>
        </w:tc>
        <w:tc>
          <w:tcPr>
            <w:tcW w:type="dxa" w:w="3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调整 operator 配置或计划，不能通过 per-run override 扩权</w:t>
            </w:r>
          </w:p>
        </w:tc>
      </w:tr>
      <w:tr>
        <w:tc>
          <w:tcPr>
            <w:tcW w:type="dxa" w:w="1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运行卡在恢复/终止</w:t>
            </w:r>
          </w:p>
        </w:tc>
        <w:tc>
          <w:tcPr>
            <w:tcW w:type="dxa" w:w="3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audit.jsonl、handoff.md、状态和恢复事件</w:t>
            </w:r>
          </w:p>
        </w:tc>
        <w:tc>
          <w:tcPr>
            <w:tcW w:type="dxa" w:w="3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确认 no-replay 语义，不手工重放未知副作用</w:t>
            </w:r>
          </w:p>
        </w:tc>
      </w:tr>
      <w:tr>
        <w:tc>
          <w:tcPr>
            <w:tcW w:type="dxa" w:w="1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前端未更新</w:t>
            </w:r>
          </w:p>
        </w:tc>
        <w:tc>
          <w:tcPr>
            <w:tcW w:type="dxa" w:w="3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服务令牌、SSE、/trace、浏览器控制台</w:t>
            </w:r>
          </w:p>
        </w:tc>
        <w:tc>
          <w:tcPr>
            <w:tcW w:type="dxa" w:w="3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使用稳定序号回放，避免重复写入 UI 状态</w:t>
            </w:r>
          </w:p>
        </w:tc>
      </w:tr>
      <w:tr>
        <w:tc>
          <w:tcPr>
            <w:tcW w:type="dxa" w:w="1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历史列表缓慢</w:t>
            </w:r>
          </w:p>
        </w:tc>
        <w:tc>
          <w:tcPr>
            <w:tcW w:type="dxa" w:w="3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summary.json 是否存在、是否显示 indexing</w:t>
            </w:r>
          </w:p>
        </w:tc>
        <w:tc>
          <w:tcPr>
            <w:tcW w:type="dxa" w:w="3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让后台回填完成；详情仍可独立读取完整状态</w:t>
            </w:r>
          </w:p>
        </w:tc>
      </w:tr>
      <w:tr>
        <w:tc>
          <w:tcPr>
            <w:tcW w:type="dxa" w:w="1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WP 生成失败</w:t>
            </w:r>
          </w:p>
        </w:tc>
        <w:tc>
          <w:tcPr>
            <w:tcW w:type="dxa" w:w="3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终态状态、submission、验证记录、writeup.* 审计事件</w:t>
            </w:r>
          </w:p>
        </w:tc>
        <w:tc>
          <w:tcPr>
            <w:tcW w:type="dxa" w:w="3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只使用公开事实重试；不可补造脚本、答案或凭据</w:t>
            </w:r>
          </w:p>
        </w:tc>
      </w:tr>
      <w:tr>
        <w:tc>
          <w:tcPr>
            <w:tcW w:type="dxa" w:w="1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sandbox 不健康</w:t>
            </w:r>
          </w:p>
        </w:tc>
        <w:tc>
          <w:tcPr>
            <w:tcW w:type="dxa" w:w="39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npm run sandbox-health、socket、能力 manifest</w:t>
            </w:r>
          </w:p>
        </w:tc>
        <w:tc>
          <w:tcPr>
            <w:tcW w:type="dxa" w:w="39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hint="eastAsia"/>
                <w:b w:val="0"/>
                <w:color w:val="0B2545"/>
                <w:sz w:val="19"/>
                <w:lang w:eastAsia="zh-CN"/>
              </w:rPr>
              <w:t>不临时放开程序白名单或网络限制</w:t>
            </w:r>
          </w:p>
        </w:tc>
      </w:tr>
    </w:tbl>
    <w:p>
      <w:pPr>
        <w:spacing w:after="60"/>
      </w:pPr>
    </w:p>
    <w:p>
      <w:pPr>
        <w:pStyle w:val="Heading1"/>
      </w:pPr>
      <w:r>
        <w:t>9. 提交规范</w:t>
      </w:r>
    </w:p>
    <w:p>
      <w:pPr>
        <w:widowControl/>
      </w:pPr>
      <w:r>
        <w:rPr>
          <w:rFonts w:ascii="Arial Unicode MS" w:hAnsi="Arial Unicode MS" w:eastAsia="Arial Unicode MS" w:hint="eastAsia"/>
          <w:color w:val="1F2933"/>
          <w:sz w:val="22"/>
          <w:lang w:eastAsia="zh-CN"/>
        </w:rPr>
        <w:t>提交前确认改动边界、敏感信息和验证记录。提交信息应说明可观察的行为变化，例如 fix: index persisted run summaries；安全边界、工具副作用、持久化格式或前端事实投影发生变化时，必须同时更新相应测试和文档。合并前以 git status --short 复核暂存内容，确保无 .env、.xuan-shu/、workspace/ 私有材料、模型凭据或未公开题目附件。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XH-202609  |  第 </w:t>
    </w:r>
    <w: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hint="eastAsia"/>
        <w:color w:val="5D6B7A"/>
        <w:sz w:val="16"/>
        <w:lang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6" w:color="B7C4D4"/>
      </w:pBdr>
    </w:pPr>
    <w:r>
      <w:rPr>
        <w:rFonts w:ascii="Arial Unicode MS" w:hAnsi="Arial Unicode MS" w:eastAsia="Arial Unicode MS" w:hint="eastAsia"/>
        <w:b/>
        <w:color w:val="5D6B7A"/>
        <w:sz w:val="17"/>
        <w:lang w:eastAsia="zh-CN"/>
      </w:rPr>
      <w:t>烛龙·玄枢 | XH-202609 竞赛提交材料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keepNext/>
      <w:spacing w:before="120" w:after="80"/>
    </w:pPr>
    <w:rPr>
      <w:rFonts w:ascii="Arial Unicode MS" w:hAnsi="Arial Unicode MS" w:eastAsia="Arial Unicode MS"/>
      <w:b/>
      <w:color w:val="0B2545"/>
      <w:sz w:val="48"/>
    </w:rPr>
  </w:style>
  <w:style w:type="paragraph" w:customStyle="1" w:styleId="DocumentSubtitle">
    <w:name w:val="Document Subtitle"/>
    <w:pPr>
      <w:spacing w:after="360"/>
    </w:pPr>
    <w:rPr>
      <w:rFonts w:ascii="Arial Unicode MS" w:hAnsi="Arial Unicode MS" w:eastAsia="Arial Unicode MS"/>
      <w:color w:val="5D6B7A"/>
      <w:sz w:val="20"/>
    </w:rPr>
  </w:style>
  <w:style w:type="paragraph" w:customStyle="1" w:styleId="CodeBlock">
    <w:name w:val="Code Block"/>
    <w:pPr>
      <w:spacing w:before="100" w:after="100"/>
      <w:ind w:left="230" w:right="230"/>
    </w:pPr>
    <w:rPr>
      <w:rFonts w:ascii="Courier New" w:hAnsi="Courier New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开发文档</dc:title>
  <dc:subject>XH-202609 竞赛提交材料</dc:subject>
  <dc:creator>ZhuLong XuanShu Team</dc:creator>
  <cp:keywords/>
  <dc:description>由仓库 Markdown 源文档生成；不含模型密钥、平台令牌、Cookie、Authorization 或隐藏推理。</dc:description>
  <cp:lastModifiedBy/>
  <cp:revision>1</cp:revision>
  <dcterms:created xsi:type="dcterms:W3CDTF">2026-08-31T00:00:00Z</dcterms:created>
  <dcterms:modified xsi:type="dcterms:W3CDTF">2026-08-31T00:00:00Z</dcterms:modified>
  <cp:category/>
</cp:coreProperties>
</file>