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 Unicode MS" w:hAnsi="Arial Unicode MS" w:eastAsia="Arial Unicode MS" w:hint="eastAsia"/>
          <w:b/>
          <w:color w:val="2E74B5"/>
          <w:sz w:val="18"/>
          <w:lang w:eastAsia="zh-CN"/>
        </w:rPr>
        <w:t>XH-202609 竞赛提交材料</w:t>
      </w:r>
    </w:p>
    <w:p>
      <w:pPr>
        <w:pStyle w:val="DocumentTitle"/>
      </w:pPr>
      <w:r>
        <w:t>测试报告</w:t>
      </w:r>
    </w:p>
    <w:p>
      <w:pPr>
        <w:pStyle w:val="DocumentSubtitle"/>
      </w:pPr>
      <w:r>
        <w:t>烛龙·玄枢（ZhuLong XuanShu）——具备自主决策能力的通用网络安全智能体</w:t>
      </w:r>
    </w:p>
    <w:p>
      <w:pPr>
        <w:spacing w:after="280"/>
        <w:pBdr>
          <w:bottom w:val="single" w:sz="6" w:space="6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文档编号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XH-202609-03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版本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1.0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测试代码基线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99ab7d5（main），及本次已实测的 Podman/ARM64 工具链修订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测试日期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2026-08-31（Asia/Shanghai）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后端运行时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Node.js v26.3.0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测试结论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当前代码通过静态、确定性回归、前后端生产构建、Compose 解析，以及 Podman ARM64 构建、启动、健康和浏览器冒烟验收</w:t>
            </w:r>
          </w:p>
        </w:tc>
      </w:tr>
    </w:tbl>
    <w:p>
      <w:pPr>
        <w:spacing w:after="60"/>
      </w:pPr>
    </w:p>
    <w:p>
      <w:pPr>
        <w:pStyle w:val="Heading1"/>
      </w:pPr>
      <w:r>
        <w:t>1. 测试目的与边界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本报告验证本次可交付代码的工程正确性和安全边界，重点覆盖类型、代码规范、策略控制、预算、审计、恢复、运行摘要、前端构建和部署配置。测试使用确定性 faux-model，不发起真实模型请求，不接触真实比赛平台或未授权目标。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本报告不以单次演示替代泛化能力评测，不报告未经固定数据集和环境清单支持的成功率，也不将 Compose 配置解析表述为容器镜像构建或 Docker 运行验收。真实模型、真实平台和长期泛化实验应按 评测协议 在明确授权的 opt-in suite 中单独执行。</w:t>
      </w:r>
    </w:p>
    <w:p>
      <w:pPr>
        <w:pStyle w:val="Heading1"/>
      </w:pPr>
      <w:r>
        <w:t>2. 测试环境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维度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实际配置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操作系统与时区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本地开发环境；Asia/Shanghai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Node.js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v26.3.0，满足项目要求 &gt;=22.19.0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后端构建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TypeScript ESM，执行仓库 npm run build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前端构建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frontend/，React/Vite 生产构建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测试框架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Vitest、TypeScript、ESLint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模型依赖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确定性 faux-model/faux-runner；无真实模型调用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容器验证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已连接的 rootless Podman machine（ARM64）；以 podman compose 调用已配置的外部 Compose provider，未使用 Docker daemon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容器端到端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core sandbox 与 Web 合并镜像实际构建；以 XUANSHU_PORT=17318 启动，/health、服务日志、sandbox socket 和浏览器页面均已验证</w:t>
            </w:r>
          </w:p>
        </w:tc>
      </w:tr>
    </w:tbl>
    <w:p>
      <w:pPr>
        <w:spacing w:after="60"/>
      </w:pPr>
    </w:p>
    <w:p>
      <w:pPr>
        <w:pStyle w:val="Heading1"/>
      </w:pPr>
      <w:r>
        <w:t>3. 验收标准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npm run check 全部通过。该命令是仓库合并门禁。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所有模型可触发的主动网络能力均需经过 PolicyEngine 和 operator-owned scope；per-run scope 不得扩权。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工具必须返回有界结果；可能阻塞的工作可由 AbortSignal 取消。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新工具须具备策略、预算、审计与副作用文档测试。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审计、状态、交接和前端投影不记录模型密钥、Authorization、Cookie 或隐藏推理。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前端生产构建和 Compose 配置解析必须成功；交付机容器构建与运行实测另行记录。</w:t>
      </w:r>
    </w:p>
    <w:p>
      <w:pPr>
        <w:pStyle w:val="Heading1"/>
      </w:pPr>
      <w:r>
        <w:t>4. 已执行测试与结果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80"/>
        <w:gridCol w:w="2912"/>
        <w:gridCol w:w="900"/>
        <w:gridCol w:w="2568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编号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测试项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命令或方式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结果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T-01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代码差异检查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git diff --check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无空白或补丁格式问题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T-02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类型、规范、确定性测试、后端构建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npm run check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61 个测试文件通过，1 个跳过；387 个用例通过，1 个跳过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T-03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前端生产构建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npm --prefix frontend run build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TypeScript 检查与 Vite 构建成功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T-04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Compose 语法与变量解析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XUANSHU_SERVER_TOKEN=validation-only docker-compose config；XUANSHU_SERVER_TOKEN=validation-only podman compose config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服务、卷、健康检查和 sandbox 网络配置可解析；rootless Podman machine 已连接，podman compose 使用配置的 Compose provider 完成解析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T-05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历史运行列表冒烟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实际历史运行列表读取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320 条有效历史运行，pending=0，/v1/runs 约 79 ms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T-06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Podman ARM64 镜像构建与启动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XUANSHU_PORT=17318 XUANSHU_SERVER_TOKEN=validation-only ./start.command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zhulong-xuanshu-ctf-sandbox 与 zhulong-xuanshu-xuanshu 两张生产镜像均构建完成；sandbox 镜像包含经实际核验的 core 工具链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T-07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容器健康与隔离服务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curl --fail http://127.0.0.1:17318/health；podman compose ps；podman compose logs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API 返回 status=ok；Web 服务与 ctf-sandbox 均处于运行状态，sandbox socket 正常监听；端口 17318 用于避让本机已有的开发服务 7318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T-08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容器化前端冒烟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实际浏览器访问 http://127.0.0.1:17318/，连接临时服务令牌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  <w:tc>
          <w:tcPr>
            <w:tcW w:type="dxa" w:w="2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页面标题、控制台总览、策略状态和导航均正常；桌面与 390x844 移动视口无可见重叠/截断，浏览器控制台无 error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测试命令使用 --no-file-parallelism 顺序执行测试文件。sandbox 相关测试包含受控健康探针；串行执行降低并发启动抖动导致的假超时，同时测试逻辑仍以确定性输入和有界断言验证行为。</w:t>
      </w:r>
    </w:p>
    <w:p>
      <w:pPr>
        <w:pStyle w:val="Heading1"/>
      </w:pPr>
      <w:r>
        <w:t>5. 测试覆盖矩阵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0"/>
        <w:gridCol w:w="3403"/>
        <w:gridCol w:w="1823"/>
        <w:gridCol w:w="2554"/>
      </w:tblGrid>
      <w:tr>
        <w:trPr>
          <w:tblHeader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测试主题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覆盖内容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主要风险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结果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策略与 scope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主机、端口、路径、程序、模式、预算、重复动作和收窄 override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模型扩权、越界执行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运行时状态机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计划、checkpoint、完成/阻塞、取消和资源计数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非法状态流转、无法收敛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审计与隐私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请求-策略-结果关联、哈希链、脱敏、公开上下文投影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行为不可追溯、凭据泄露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恢复与 no-replay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遗留状态结算、恢复事件续链、不重放副作用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重启重复执行工具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提交与 WP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结构化 submission、独立验证、终态生成及格式校验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从文本猜 Flag、伪造 WP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附件与材料工具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ZIP 条目/大小限制、路径穿越与链接拒绝、字节搜索上限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恶意附件、过量输出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Sandbox 工具链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固定版本、能力清单、allowlist 和 health 契约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未声明程序、不可复现依赖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前端事实投影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决策事件合并、策略状态、证据关系、实时去重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UI 编造状态、重复事件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运行摘要索引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摘要优先、旧状态后台回填、详情读取完整状态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大量运行导致列表阻塞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前端构建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React/Vite 生产打包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控制台不可交付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Compose 与容器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回环端口、named volume、服务健康、sandbox 无网络、ARM64 工具链和启动脚本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一键部署配置或运行时工具链错误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通过（配置解析与实际 Podman 运行）</w:t>
            </w:r>
          </w:p>
        </w:tc>
      </w:tr>
      <w:t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浏览器控制台</w:t>
            </w:r>
          </w:p>
        </w:tc>
        <w:tc>
          <w:tcPr>
            <w:tcW w:type="dxa" w:w="34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服务令牌连接、总览加载、导航可见性、桌面与移动端布局、控制台错误</w:t>
            </w:r>
          </w:p>
        </w:tc>
        <w:tc>
          <w:tcPr>
            <w:tcW w:type="dxa" w:w="18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合并前端无法实际使用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通过</w:t>
            </w:r>
          </w:p>
        </w:tc>
      </w:tr>
    </w:tbl>
    <w:p>
      <w:pPr>
        <w:spacing w:after="60"/>
      </w:pPr>
    </w:p>
    <w:p>
      <w:pPr>
        <w:pStyle w:val="Heading1"/>
      </w:pPr>
      <w:r>
        <w:t>6. 关键验证说明</w:t>
      </w:r>
    </w:p>
    <w:p>
      <w:pPr>
        <w:pStyle w:val="Heading2"/>
      </w:pPr>
      <w:r>
        <w:t>6.1 安全与作用域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策略测试验证了 scope 对主机、端口、路径和程序的限制，以及预算、重复动作和 checkpoint 的拦截行为。网络能力不能借由 sandbox、Connector 或单次 override 扩大到 operator 未授予的范围。受控命令由 sidecar 接收程序与参数，而不是 Shell 字符串。</w:t>
      </w:r>
    </w:p>
    <w:p>
      <w:pPr>
        <w:pStyle w:val="Heading2"/>
      </w:pPr>
      <w:r>
        <w:t>6.2 可审计性与恢复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测试覆盖运行事件的顺序、关联、投影和恢复路径。历史恢复为 no-replay：服务启动后只记录并结算不完整运行，而不自动重新执行副作用未知的调用。人工复核作为独立记录存在，不改写原始审计链。</w:t>
      </w:r>
    </w:p>
    <w:p>
      <w:pPr>
        <w:pStyle w:val="Heading2"/>
      </w:pPr>
      <w:r>
        <w:t>6.3 结论、Flag 和 WP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严格提交策略要求候选值出现在成功工具结果中，且由独立验证文本明确引用；不满足时任务不会伪造完成。WP 仅允许终态运行生成，并校验结构、精确 submission、完整脚本代码块、最大长度和重复答案行。生成器的输入已排除隐藏推理和敏感凭据。</w:t>
      </w:r>
    </w:p>
    <w:p>
      <w:pPr>
        <w:pStyle w:val="Heading2"/>
      </w:pPr>
      <w:r>
        <w:t>6.4 历史运行性能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summary.json 将运行列表所需字段从完整状态中投影出来，解决大量历史产物需逐个读取 state.json 的问题。测试与本次实际运行列表复测验证：已有 320 条有效历史记录时，所有摘要均已就绪，/v1/runs 约 79 ms 返回；打开详情时仍从完整状态和审计轨迹加载事实。</w:t>
      </w:r>
    </w:p>
    <w:p>
      <w:pPr>
        <w:pStyle w:val="Heading1"/>
      </w:pPr>
      <w:r>
        <w:t>7. 未执行项与限制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14"/>
        <w:gridCol w:w="1489"/>
        <w:gridCol w:w="5957"/>
      </w:tblGrid>
      <w:tr>
        <w:trPr>
          <w:tblHeader w:val="true"/>
        </w:trPr>
        <w:tc>
          <w:tcPr>
            <w:tcW w:type="dxa" w:w="1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项目</w:t>
            </w:r>
          </w:p>
        </w:tc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状态</w:t>
            </w:r>
          </w:p>
        </w:tc>
        <w:tc>
          <w:tcPr>
            <w:tcW w:type="dxa" w:w="5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原因与后续要求</w:t>
            </w:r>
          </w:p>
        </w:tc>
      </w:tr>
      <w:tr>
        <w:tc>
          <w:tcPr>
            <w:tcW w:type="dxa" w:w="1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真实模型端到端评测</w:t>
            </w:r>
          </w:p>
        </w:tc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未纳入默认测试</w:t>
            </w:r>
          </w:p>
        </w:tc>
        <w:tc>
          <w:tcPr>
            <w:tcW w:type="dxa" w:w="5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需要私有模型配置、授权和评测 manifest，不能使用公开仓库密钥</w:t>
            </w:r>
          </w:p>
        </w:tc>
      </w:tr>
      <w:tr>
        <w:tc>
          <w:tcPr>
            <w:tcW w:type="dxa" w:w="1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真实比赛平台验证</w:t>
            </w:r>
          </w:p>
        </w:tc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未纳入默认测试</w:t>
            </w:r>
          </w:p>
        </w:tc>
        <w:tc>
          <w:tcPr>
            <w:tcW w:type="dxa" w:w="5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需在主办方授权范围内由操作员执行，保存脱敏证据</w:t>
            </w:r>
          </w:p>
        </w:tc>
      </w:tr>
      <w:tr>
        <w:tc>
          <w:tcPr>
            <w:tcW w:type="dxa" w:w="1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成功率/排名结论</w:t>
            </w:r>
          </w:p>
        </w:tc>
        <w:tc>
          <w:tcPr>
            <w:tcW w:type="dxa" w:w="14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不适用</w:t>
            </w:r>
          </w:p>
        </w:tc>
        <w:tc>
          <w:tcPr>
            <w:tcW w:type="dxa" w:w="5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当前不存在固定隐藏集、重复次数和环境账本支持的统计结果</w:t>
            </w:r>
          </w:p>
        </w:tc>
      </w:tr>
    </w:tbl>
    <w:p>
      <w:pPr>
        <w:spacing w:after="60"/>
      </w:pPr>
    </w:p>
    <w:p>
      <w:pPr>
        <w:pStyle w:val="Heading1"/>
      </w:pPr>
      <w:r>
        <w:t>8. 交付机复测清单</w:t>
      </w:r>
    </w:p>
    <w:p>
      <w:pPr>
        <w:pStyle w:val="CodeBlock"/>
        <w:spacing w:before="40" w:after="4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6"/>
          <w:lang w:eastAsia="zh-CN"/>
        </w:rPr>
        <w:t>git diff --check</w:t>
        <w:br/>
        <w:t>npm run check</w:t>
        <w:br/>
        <w:t>npm --prefix frontend run build</w:t>
        <w:br/>
        <w:t>XUANSHU_SERVER_TOKEN=validation-only docker-compose config</w:t>
        <w:br/>
        <w:t>XUANSHU_SERVER_TOKEN=validation-only podman compose config</w:t>
        <w:br/>
        <w:br/>
        <w:t># 有可连接的 Podman 或 Docker 容器引擎时</w:t>
        <w:br/>
        <w:t>XUANSHU_PORT=17318 XUANSHU_SERVER_TOKEN="&lt;现场随机令牌&gt;" ./start.command</w:t>
        <w:br/>
        <w:t>curl --fail http://127.0.0.1:17318/health</w:t>
        <w:br/>
        <w:t>XUANSHU_PORT=17318 XUANSHU_SERVER_TOKEN="&lt;现场随机令牌&gt;" podman compose ps</w:t>
        <w:br/>
        <w:t>podman compose down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若默认端口 7318 已被本地开发服务占用，应像本次实测一样指定空闲的回环端口（例如 17318），不得停止未知的本地进程。复测记录应另存为脱敏附件，至少固定 commit SHA、依赖 lockfile、Node、Podman 或 Docker 版本、Compose provider、容器镜像摘要、测试人员、授权范围和结果。不得记录模型 Key、服务令牌、Cookie、Authorization、未公开题目材料或真实 Flag。</w:t>
      </w:r>
    </w:p>
    <w:p>
      <w:pPr>
        <w:pStyle w:val="Heading1"/>
        <w:keepNext/>
        <w:spacing w:before="120" w:after="60"/>
      </w:pPr>
      <w:r>
        <w:rPr>
          <w:rFonts w:ascii="Arial Unicode MS" w:hAnsi="Arial Unicode MS" w:eastAsia="Arial Unicode MS" w:hint="eastAsia"/>
          <w:b/>
          <w:color w:val="2E74B5"/>
          <w:sz w:val="26"/>
          <w:lang w:eastAsia="zh-CN"/>
        </w:rPr>
        <w:t>9. 验收结论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静态检查、确定性回归、前后端构建、Compose 配置解析、历史运行列表冒烟，以及 Podman ARM64 的镜像构建、容器启动、健康接口和浏览器冒烟均通过，当前版本满足合并门禁和文档化安全边界。真实模型和真实比赛平台验证仍须在授权环境中按第 8 节完成并以脱敏记录归档。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XH-202609  |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6" w:color="B7C4D4"/>
      </w:pBdr>
    </w:pPr>
    <w:r>
      <w:rPr>
        <w:rFonts w:ascii="Arial Unicode MS" w:hAnsi="Arial Unicode MS" w:eastAsia="Arial Unicode MS" w:hint="eastAsia"/>
        <w:b/>
        <w:color w:val="5D6B7A"/>
        <w:sz w:val="17"/>
        <w:lang w:eastAsia="zh-CN"/>
      </w:rPr>
      <w:t>烛龙·玄枢 | XH-202609 竞赛提交材料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keepNext/>
      <w:spacing w:before="120" w:after="80"/>
    </w:pPr>
    <w:rPr>
      <w:rFonts w:ascii="Arial Unicode MS" w:hAnsi="Arial Unicode MS" w:eastAsia="Arial Unicode MS"/>
      <w:b/>
      <w:color w:val="0B2545"/>
      <w:sz w:val="48"/>
    </w:rPr>
  </w:style>
  <w:style w:type="paragraph" w:customStyle="1" w:styleId="DocumentSubtitle">
    <w:name w:val="Document Subtitle"/>
    <w:pPr>
      <w:spacing w:after="360"/>
    </w:pPr>
    <w:rPr>
      <w:rFonts w:ascii="Arial Unicode MS" w:hAnsi="Arial Unicode MS" w:eastAsia="Arial Unicode MS"/>
      <w:color w:val="5D6B7A"/>
      <w:sz w:val="20"/>
    </w:rPr>
  </w:style>
  <w:style w:type="paragraph" w:customStyle="1" w:styleId="CodeBlock">
    <w:name w:val="Code Block"/>
    <w:pPr>
      <w:spacing w:before="100" w:after="100"/>
      <w:ind w:left="230" w:right="230"/>
    </w:pPr>
    <w:rPr>
      <w:rFonts w:ascii="Courier New" w:hAnsi="Courier New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</dc:title>
  <dc:subject>XH-202609 竞赛提交材料</dc:subject>
  <dc:creator>ZhuLong XuanShu Team</dc:creator>
  <cp:keywords/>
  <dc:description>由仓库 Markdown 源文档生成；不含模型密钥、平台令牌、Cookie、Authorization 或隐藏推理。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