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 Unicode MS" w:hAnsi="Arial Unicode MS" w:eastAsia="Arial Unicode MS" w:hint="eastAsia"/>
          <w:b/>
          <w:color w:val="2E74B5"/>
          <w:sz w:val="18"/>
          <w:lang w:eastAsia="zh-CN"/>
        </w:rPr>
        <w:t>XH-202609 竞赛提交材料</w:t>
      </w:r>
    </w:p>
    <w:p>
      <w:pPr>
        <w:pStyle w:val="DocumentTitle"/>
      </w:pPr>
      <w:r>
        <w:t>用户与部署手册</w:t>
      </w:r>
    </w:p>
    <w:p>
      <w:pPr>
        <w:pStyle w:val="DocumentSubtitle"/>
      </w:pPr>
      <w:r>
        <w:t>烛龙·玄枢（ZhuLong XuanShu）——具备自主决策能力的通用网络安全智能体</w:t>
      </w:r>
    </w:p>
    <w:p>
      <w:pPr>
        <w:spacing w:after="280"/>
        <w:pBdr>
          <w:bottom w:val="single" w:sz="6" w:space="6" w:color="2E74B5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" name="Picture 1" descr="烛龙玄枢控制台总览界面，已脱敏，仅用于说明用户操作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console-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 Unicode MS" w:hAnsi="Arial Unicode MS" w:eastAsia="Arial Unicode MS" w:hint="eastAsia"/>
          <w:color w:val="5D6B7A"/>
          <w:sz w:val="18"/>
          <w:lang w:eastAsia="zh-CN"/>
        </w:rPr>
        <w:t>图 1  控制台总览（脱敏示意）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30"/>
        <w:gridCol w:w="6630"/>
      </w:tblGrid>
      <w:tr>
        <w:trPr>
          <w:tblHeader w:val="true"/>
        </w:trP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项目</w:t>
            </w:r>
          </w:p>
        </w:tc>
        <w:tc>
          <w:tcPr>
            <w:tcW w:type="dxa" w:w="6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内容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文档编号</w:t>
            </w:r>
          </w:p>
        </w:tc>
        <w:tc>
          <w:tcPr>
            <w:tcW w:type="dxa" w:w="6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XH-202609-04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版本</w:t>
            </w:r>
          </w:p>
        </w:tc>
        <w:tc>
          <w:tcPr>
            <w:tcW w:type="dxa" w:w="6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1.0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对应代码基线</w:t>
            </w:r>
          </w:p>
        </w:tc>
        <w:tc>
          <w:tcPr>
            <w:tcW w:type="dxa" w:w="6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723f047（main）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读者</w:t>
            </w:r>
          </w:p>
        </w:tc>
        <w:tc>
          <w:tcPr>
            <w:tcW w:type="dxa" w:w="6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参赛队员、现场操作员、部署维护人员</w:t>
            </w:r>
          </w:p>
        </w:tc>
      </w:tr>
      <w:tr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编制日期</w:t>
            </w:r>
          </w:p>
        </w:tc>
        <w:tc>
          <w:tcPr>
            <w:tcW w:type="dxa" w:w="6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2026-08-31</w:t>
            </w:r>
          </w:p>
        </w:tc>
      </w:tr>
    </w:tbl>
    <w:p>
      <w:pPr>
        <w:spacing w:after="60"/>
      </w:pPr>
    </w:p>
    <w:p>
      <w:pPr>
        <w:pStyle w:val="Heading1"/>
      </w:pPr>
      <w:r>
        <w:t>1. 使用范围与安全前提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烛龙·玄枢仅用于明确授权的竞赛、教学靶场、实验室与安全研究环境。使用者对目标、模型服务和附件材料的授权负责。系统默认 scope.mode=observe 且不配置授权主机；模型请求本身不会开启网络或命令权限。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请在操作前确认：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已取得主办方或环境所有者对任务、目标和数据的明确授权。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operator 已配置最小必要 scope、主机、端口、程序 allowlist 和预算。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现场使用的模型 Key、服务令牌和网关参数只存在于私有环境或当前进程，不进入仓库、截图、运行描述和比赛压缩包。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单次运行 scope override 只能收窄既有范围，不能增加主机、程序、路径或将 observe 提升为 controlled。</w:t>
      </w:r>
    </w:p>
    <w:p>
      <w:pPr>
        <w:pStyle w:val="Heading1"/>
      </w:pPr>
      <w:r>
        <w:t>2. 部署方式概览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92"/>
        <w:gridCol w:w="1352"/>
        <w:gridCol w:w="2912"/>
        <w:gridCol w:w="2704"/>
      </w:tblGrid>
      <w:tr>
        <w:trPr>
          <w:tblHeader w:val="true"/>
        </w:trPr>
        <w:tc>
          <w:tcPr>
            <w:tcW w:type="dxa" w:w="2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方式</w:t>
            </w:r>
          </w:p>
        </w:tc>
        <w:tc>
          <w:tcPr>
            <w:tcW w:type="dxa" w:w="1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适用场景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访问地址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特点</w:t>
            </w:r>
          </w:p>
        </w:tc>
      </w:tr>
      <w:tr>
        <w:tc>
          <w:tcPr>
            <w:tcW w:type="dxa" w:w="2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本地开发模式</w:t>
            </w:r>
          </w:p>
        </w:tc>
        <w:tc>
          <w:tcPr>
            <w:tcW w:type="dxa" w:w="1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联调、前端开发、源码调试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API http://127.0.0.1:7318/；Vite http://127.0.0.1:5173/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前后端分开运行，便于定位问题</w:t>
            </w:r>
          </w:p>
        </w:tc>
      </w:tr>
      <w:tr>
        <w:tc>
          <w:tcPr>
            <w:tcW w:type="dxa" w:w="2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Podman / Docker Compose</w:t>
            </w:r>
          </w:p>
        </w:tc>
        <w:tc>
          <w:tcPr>
            <w:tcW w:type="dxa" w:w="1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比赛现场、演示、可重复部署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http://127.0.0.1:7318/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API 与已构建前端合并，配套无外网 sandbox</w:t>
            </w:r>
          </w:p>
        </w:tc>
      </w:tr>
      <w:tr>
        <w:tc>
          <w:tcPr>
            <w:tcW w:type="dxa" w:w="2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主办方托管环境</w:t>
            </w:r>
          </w:p>
        </w:tc>
        <w:tc>
          <w:tcPr>
            <w:tcW w:type="dxa" w:w="1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按主办方规则部署</w:t>
            </w:r>
          </w:p>
        </w:tc>
        <w:tc>
          <w:tcPr>
            <w:tcW w:type="dxa" w:w="2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由现场配置决定</w:t>
            </w:r>
          </w:p>
        </w:tc>
        <w:tc>
          <w:tcPr>
            <w:tcW w:type="dxa" w:w="2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使用私有配置 overlay，不提交敏感参数</w:t>
            </w:r>
          </w:p>
        </w:tc>
      </w:tr>
    </w:tbl>
    <w:p>
      <w:pPr>
        <w:spacing w:after="60"/>
      </w:pPr>
    </w:p>
    <w:p>
      <w:pPr>
        <w:pStyle w:val="Heading1"/>
      </w:pPr>
      <w:r>
        <w:t>3. 本地开发模式</w:t>
      </w:r>
    </w:p>
    <w:p>
      <w:pPr>
        <w:pStyle w:val="Heading2"/>
      </w:pPr>
      <w:r>
        <w:t>3.1 前置条件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Node.js &gt;=22.19.0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npm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已授权的模型服务配置（仅在需要真实模型时）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需要命令分析时，准备 Podman、Docker 或本地 CTF sandbox</w:t>
      </w:r>
    </w:p>
    <w:p>
      <w:pPr>
        <w:pStyle w:val="Heading2"/>
      </w:pPr>
      <w:r>
        <w:t>3.2 安装与基础验证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git clone https://github.com/jiker666/zhulong-xuanshu.git</w:t>
        <w:br/>
        <w:t>cd zhulong-xuanshu</w:t>
        <w:br/>
        <w:t>npm ci --legacy-peer-deps --ignore-scripts</w:t>
        <w:br/>
        <w:t>npm --prefix frontend ci --ignore-scripts</w:t>
        <w:br/>
        <w:t>cp .env.example .env</w:t>
        <w:br/>
        <w:br/>
        <w:t>npm run check</w:t>
        <w:br/>
        <w:t>npm --prefix frontend run build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 .env 或私有环境中设置所需变量，切勿将真实值复制到公共配置：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OPENAI_API_KEY=&lt;仅保存在本机私有环境中&gt;</w:t>
        <w:br/>
        <w:t>XUANSHU_SERVER_TOKEN=&lt;本地控制面令牌&gt;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启动后端和前端：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# 终端 1：API</w:t>
        <w:br/>
        <w:t>XUANSHU_SERVER_TOKEN="&lt;本地随机令牌&gt;" npm run serve</w:t>
        <w:br/>
        <w:br/>
        <w:t># 终端 2：Vite 前端</w:t>
        <w:br/>
        <w:t>npm --prefix frontend run dev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服务默认在回环地址监听。通过 http://127.0.0.1:7318/health 检查 API，通过 http://127.0.0.1:5173/ 打开开发控制台。不要将此默认本地地址理解为公开线上服务。</w:t>
      </w:r>
    </w:p>
    <w:p>
      <w:pPr>
        <w:pStyle w:val="Heading2"/>
      </w:pPr>
      <w:r>
        <w:t>3.3 可选本地 sandbox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mkdir -p workspace .xuan-shu/work</w:t>
        <w:br/>
        <w:t>sh tools/ctf/run-local-sandbox.sh</w:t>
        <w:br/>
        <w:t>npm run sandbox-health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sandbox 只执行 operator allowlist 中的结构化程序，输入只读，结果写入逐运行 scratch。它不应通过命令行作为绕过网络策略的通道。</w:t>
      </w:r>
    </w:p>
    <w:p>
      <w:pPr>
        <w:pStyle w:val="Heading1"/>
      </w:pPr>
      <w:r>
        <w:t>4. Podman / Docker Compose 一键启动</w:t>
      </w:r>
    </w:p>
    <w:p>
      <w:pPr>
        <w:pStyle w:val="Heading2"/>
      </w:pPr>
      <w:r>
        <w:t>4.1 macOS / Linux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在项目根目录执行：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./start.command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首次缺少执行权限时：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chmod +x start.command</w:t>
        <w:br/>
        <w:t>./start.command</w:t>
      </w:r>
    </w:p>
    <w:p>
      <w:pPr>
        <w:spacing w:after="20"/>
      </w:pPr>
    </w:p>
    <w:p>
      <w:pPr>
        <w:pStyle w:val="Heading2"/>
      </w:pPr>
      <w:r>
        <w:t>4.2 Windows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准备好 Podman 或 Docker 引擎后，双击 start.bat。也可以在命令提示符中从项目根目录运行该脚本。</w:t>
      </w:r>
    </w:p>
    <w:p>
      <w:pPr>
        <w:pStyle w:val="Heading2"/>
      </w:pPr>
      <w:r>
        <w:t>4.3 脚本行为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两个脚本都会：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优先检查 podman compose 或 podman-compose，其次检查可连接的 Docker Compose；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 macOS Podman machine 未启动时尝试启动，未初始化时给出 podman machine init &amp;&amp; podman machine start 提示；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在未设置 XUANSHU_SERVER_TOKEN 时生成一次性随机令牌；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构建 API 与 React 前端合并镜像，并启动 xuanshu 与 ctf-sandbox；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最多等待 120 秒轮询 /health；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服务健康后自动打开 http://127.0.0.1:&lt;端口&gt;/；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将本次生成的服务令牌打印到终端，供控制台右上角钥匙按钮输入。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macOS 首次使用 Podman：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podman machine init</w:t>
        <w:br/>
        <w:t>podman machine start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还需要可用的 Compose provider。执行 podman compose version；若无 provider，安装 podman-compose 或按 Podman 的 provider 配置完成安装。provider 可以是外部 Compose 可执行文件；只要由 podman compose 调用且 Podman engine 已连接，容器仍由 Podman 运行。脚本会在 provider 缺失时停止并提示，避免错误地改用不可用的 Docker 引擎。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默认端口为 7318。端口被占用时：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XUANSHU_PORT=17318 ./start.command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手工启动示例：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XUANSHU_SERVER_TOKEN="&lt;现场随机令牌&gt;" podman compose up -d --build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当前机器使用 podman-compose、docker compose 或独立 docker-compose 时，将命令前缀替换为实际可用 provider。停止服务：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podman compose ps</w:t>
        <w:br/>
        <w:t>podman compose logs --tail=100 xuanshu ctf-sandbox</w:t>
        <w:br/>
        <w:t>podman compose down</w:t>
      </w:r>
    </w:p>
    <w:p>
      <w:pPr>
        <w:spacing w:after="20"/>
      </w:pPr>
    </w:p>
    <w:p>
      <w:pPr>
        <w:pStyle w:val="Heading2"/>
      </w:pPr>
      <w:r>
        <w:t>4.4 容器边界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Compose 仅将 API 端口绑定至 127.0.0.1；workspace/ 以只读方式挂载；运行数据写入 named volumes；ctf-sandbox 使用 network_mode: none。网络工具仍由 API 进程中的 PolicyEngine 与 scope 控制，安装更多 sandbox 工具不会增加网络权限。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442"/>
        <w:gridCol w:w="1269"/>
        <w:gridCol w:w="3649"/>
      </w:tblGrid>
      <w:tr>
        <w:trPr>
          <w:tblHeader w:val="true"/>
        </w:trPr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变量</w:t>
            </w:r>
          </w:p>
        </w:tc>
        <w:tc>
          <w:tcPr>
            <w:tcW w:type="dxa" w:w="1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默认值</w:t>
            </w:r>
          </w:p>
        </w:tc>
        <w:tc>
          <w:tcPr>
            <w:tcW w:type="dxa" w:w="3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说明</w:t>
            </w:r>
          </w:p>
        </w:tc>
      </w:tr>
      <w:tr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XUANSHU_SERVER_TOKEN</w:t>
            </w:r>
          </w:p>
        </w:tc>
        <w:tc>
          <w:tcPr>
            <w:tcW w:type="dxa" w:w="1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启动脚本临时生成</w:t>
            </w:r>
          </w:p>
        </w:tc>
        <w:tc>
          <w:tcPr>
            <w:tcW w:type="dxa" w:w="3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控制面 Bearer 令牌；手动启动时必须设置</w:t>
            </w:r>
          </w:p>
        </w:tc>
      </w:tr>
      <w:tr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XUANSHU_PORT</w:t>
            </w:r>
          </w:p>
        </w:tc>
        <w:tc>
          <w:tcPr>
            <w:tcW w:type="dxa" w:w="1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7318</w:t>
            </w:r>
          </w:p>
        </w:tc>
        <w:tc>
          <w:tcPr>
            <w:tcW w:type="dxa" w:w="3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宿主机回环端口</w:t>
            </w:r>
          </w:p>
        </w:tc>
      </w:tr>
      <w:tr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OPENAI_API_KEY</w:t>
            </w:r>
          </w:p>
        </w:tc>
        <w:tc>
          <w:tcPr>
            <w:tcW w:type="dxa" w:w="1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空</w:t>
            </w:r>
          </w:p>
        </w:tc>
        <w:tc>
          <w:tcPr>
            <w:tcW w:type="dxa" w:w="3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operator 管理的默认模型密钥</w:t>
            </w:r>
          </w:p>
        </w:tc>
      </w:tr>
      <w:tr>
        <w:tc>
          <w:tcPr>
            <w:tcW w:type="dxa" w:w="4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XUANSHU_INSTALL_HEAVY_CTF_TOOLS</w:t>
            </w:r>
          </w:p>
        </w:tc>
        <w:tc>
          <w:tcPr>
            <w:tcW w:type="dxa" w:w="1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false</w:t>
            </w:r>
          </w:p>
        </w:tc>
        <w:tc>
          <w:tcPr>
            <w:tcW w:type="dxa" w:w="3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是否构建扩展工具；会增加构建时间和镜像体积</w:t>
            </w:r>
          </w:p>
        </w:tc>
      </w:tr>
    </w:tbl>
    <w:p>
      <w:pPr>
        <w:spacing w:after="60"/>
      </w:pPr>
    </w:p>
    <w:p>
      <w:pPr>
        <w:pStyle w:val="Heading1"/>
      </w:pPr>
      <w:r>
        <w:t>5. 控制台操作指南</w:t>
      </w:r>
    </w:p>
    <w:p>
      <w:pPr>
        <w:pStyle w:val="Heading2"/>
      </w:pPr>
      <w:r>
        <w:t>5.1 创建任务和添加附件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打开控制台，在右上角钥匙按钮输入本次 API 服务令牌。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创建运行，填写明确、可授权的任务目标。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添加附件：可点击“添加文件”，也可将文件直接拖拽到附件投放区。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确认任务描述、附件和授权范围后启动运行。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上传文件进入本次运行的只读输入边界。不要上传无权使用的生产数据、真实凭据、个人信息或含密钥的配置文件。ZIP 解压和二进制搜索均有条目、字节、模式和输出限制。</w:t>
      </w:r>
    </w:p>
    <w:p>
      <w:pPr>
        <w:pStyle w:val="Heading2"/>
      </w:pPr>
      <w:r>
        <w:t>5.2 阅读 Decision Observatory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运行详情以事实投影展示自主决策闭环，而不是展示模型隐藏思维。可见信息包括：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69"/>
        <w:gridCol w:w="2496"/>
        <w:gridCol w:w="3495"/>
      </w:tblGrid>
      <w:tr>
        <w:trPr>
          <w:tblHeader w:val="true"/>
        </w:trP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区域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含义</w:t>
            </w:r>
          </w:p>
        </w:tc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操作建议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Mission Control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状态、阶段、回合、工具、策略和审计完整性</w:t>
            </w:r>
          </w:p>
        </w:tc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先确认是否仍在运行、阻塞或已终态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Current Decision / Timeline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公开的行动、理由、影响、结果和下一步</w:t>
            </w:r>
          </w:p>
        </w:tc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将其作为证据导向的操作解释，不视为隐藏推理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Hypothesis / Evidence Graph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假设状态、来源、支持与矛盾证据</w:t>
            </w:r>
          </w:p>
        </w:tc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关注是否存在独立验证，而非单一文本结论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Policy Details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允许或拒绝的具体原因</w:t>
            </w:r>
          </w:p>
        </w:tc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被拒绝时检查 scope、allowlist、预算或重复动作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Replay / Fork / Resume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按审计序号回放、创建分支或继续任务</w:t>
            </w:r>
          </w:p>
        </w:tc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分支只继承公开且已脱敏的轨迹；父运行不变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Human Review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对事实作正确/错误/不确定标注</w:t>
            </w:r>
          </w:p>
        </w:tc>
        <w:tc>
          <w:tcPr>
            <w:tcW w:type="dxa" w:w="34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人工复核不覆盖原审计链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连续无证据、重复动作或工具失败接近阈值时，运行会要求 checkpoint 和策略修订。应查看失败分类与下一步依据，不能通过反复点击或扩大单次 scope 强行绕过该门禁。</w:t>
      </w:r>
    </w:p>
    <w:p>
      <w:pPr>
        <w:pStyle w:val="Heading2"/>
      </w:pPr>
      <w:r>
        <w:t>5.3 模型设置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进入“模型设置”，可填写 OpenAI-compatible Base URL、API 类型、模型/部署 ID、API Key、可选 AppKey 和推理格式。配置只保存于当前 API 进程内存：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不写入浏览器 localStorage 或 sessionStorage；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不由设置读取接口回显 API Key；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不写入 audit、state、transcript 或 WP；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服务重启后自动清除，需重新配置。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无人值守或比赛现场长期部署时，使用被 Git 忽略的私有配置和环境变量。页面内不得粘贴或截图公开任何真实密钥。</w:t>
      </w:r>
    </w:p>
    <w:p>
      <w:pPr>
        <w:pStyle w:val="Heading2"/>
      </w:pPr>
      <w:r>
        <w:t>5.4 最终结论、Flag 与 WP 下载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终态运行的“运行总结结论”区域显示结构化 summary。存在 CTF submission 时，页面会以醒目的 FLAG FOUND 与独立 Flag 字段展示最终值。该值来自 finish_task 和验证记录，系统不会从模型聊天文本或日志中猜测 Flag。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点击“下载 WP”后：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已持久化 WP 直接下载；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没有 WP 时，系统请求独立生成步骤；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生成器只使用运行的公开、脱敏事实，输出固定结构的竞赛 WP；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生成失败时下载结构化兼容报告，并显示受限错误原因；不会编造解题脚本、证据或答案。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WP 生成只允许在 completed、blocked、failed 或 aborted 等终态运行上发起。严格提交任务仍以独立验证闸门为准，人工应在提交平台前复核最终结论和授权范围。</w:t>
      </w:r>
    </w:p>
    <w:p>
      <w:pPr>
        <w:pStyle w:val="Heading1"/>
      </w:pPr>
      <w:r>
        <w:t>6. 现场运行检查清单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比赛或演示开始前：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固定 Git commit，运行 npm run check、前端构建和 Compose 配置检查。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有可连接的 Podman 或 Docker 容器引擎时，完成 Compose 构建、/health、令牌登录和只读附件冒烟。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以最小 scope 准备现场目标；确认主机、端口、工具白名单和预算。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使用本次启动生成的服务令牌；模型密钥留在私有环境中。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验证可拖拽附件、可查看决策轨迹、可显示最终结论/Flag、可下载 WP。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准备脱敏的测试证据，避免屏幕录像、截图或导出中含 Key、Cookie、Authorization、真实目标信息或未公开答案。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比赛结束后：停止容器或本地服务，清理临时 .xuan-shu/ 运行产物和私有 .env，仅保留脱敏、可提交的文档与验证记录。</w:t>
      </w:r>
    </w:p>
    <w:p>
      <w:pPr>
        <w:pStyle w:val="Heading1"/>
      </w:pPr>
      <w:r>
        <w:t>7. 备份、恢复与停机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29"/>
        <w:gridCol w:w="4518"/>
        <w:gridCol w:w="3713"/>
      </w:tblGrid>
      <w:tr>
        <w:trPr>
          <w:tblHeader w:val="true"/>
        </w:trPr>
        <w:tc>
          <w:tcPr>
            <w:tcW w:type="dxa" w:w="11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对象</w:t>
            </w:r>
          </w:p>
        </w:tc>
        <w:tc>
          <w:tcPr>
            <w:tcW w:type="dxa" w:w="4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位置</w:t>
            </w:r>
          </w:p>
        </w:tc>
        <w:tc>
          <w:tcPr>
            <w:tcW w:type="dxa" w:w="3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说明</w:t>
            </w:r>
          </w:p>
        </w:tc>
      </w:tr>
      <w:tr>
        <w:tc>
          <w:tcPr>
            <w:tcW w:type="dxa" w:w="11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完整运行状态</w:t>
            </w:r>
          </w:p>
        </w:tc>
        <w:tc>
          <w:tcPr>
            <w:tcW w:type="dxa" w:w="4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.xuan-shu/runs/&lt;run-id&gt;/state.json 或容器数据卷</w:t>
            </w:r>
          </w:p>
        </w:tc>
        <w:tc>
          <w:tcPr>
            <w:tcW w:type="dxa" w:w="3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仅用于详情和恢复；含任务信息，应按敏感级别保存</w:t>
            </w:r>
          </w:p>
        </w:tc>
      </w:tr>
      <w:tr>
        <w:tc>
          <w:tcPr>
            <w:tcW w:type="dxa" w:w="11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审计与人工复核</w:t>
            </w:r>
          </w:p>
        </w:tc>
        <w:tc>
          <w:tcPr>
            <w:tcW w:type="dxa" w:w="4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audit.jsonl、reviews.jsonl</w:t>
            </w:r>
          </w:p>
        </w:tc>
        <w:tc>
          <w:tcPr>
            <w:tcW w:type="dxa" w:w="3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审计链追加，人工复核不改写原始事件</w:t>
            </w:r>
          </w:p>
        </w:tc>
      </w:tr>
      <w:tr>
        <w:tc>
          <w:tcPr>
            <w:tcW w:type="dxa" w:w="11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交接摘要</w:t>
            </w:r>
          </w:p>
        </w:tc>
        <w:tc>
          <w:tcPr>
            <w:tcW w:type="dxa" w:w="4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handoff.md</w:t>
            </w:r>
          </w:p>
        </w:tc>
        <w:tc>
          <w:tcPr>
            <w:tcW w:type="dxa" w:w="3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脱敏、限长，供恢复与人工交接参考</w:t>
            </w:r>
          </w:p>
        </w:tc>
      </w:tr>
      <w:tr>
        <w:tc>
          <w:tcPr>
            <w:tcW w:type="dxa" w:w="11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运行列表索引</w:t>
            </w:r>
          </w:p>
        </w:tc>
        <w:tc>
          <w:tcPr>
            <w:tcW w:type="dxa" w:w="4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summary.json</w:t>
            </w:r>
          </w:p>
        </w:tc>
        <w:tc>
          <w:tcPr>
            <w:tcW w:type="dxa" w:w="37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可由完整状态后台补齐，不代替完整事实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服务重启后，未完成运行会按 no-replay 语义结算，避免自动重复副作用。需要继续分析时，请在控制台使用 Resume 或从指定审计序号 Fork，在新的独立 run 中审查范围和下一步；不要手工复制旧命令进行未经复核的重放。</w:t>
      </w:r>
    </w:p>
    <w:p>
      <w:pPr>
        <w:pStyle w:val="Heading1"/>
      </w:pPr>
      <w:r>
        <w:t>8. 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1"/>
        <w:gridCol w:w="3854"/>
        <w:gridCol w:w="3855"/>
      </w:tblGrid>
      <w:tr>
        <w:trPr>
          <w:tblHeader w:val="true"/>
        </w:trP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现象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原因或检查项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处理方式</w:t>
            </w:r>
          </w:p>
        </w:tc>
      </w:tr>
      <w:t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无法访问控制台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API 未健康、端口被占用、令牌错误或 Podman machine 未启动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检查 /health、启动脚本输出、podman compose ps、podman machine list 和端口</w:t>
            </w:r>
          </w:p>
        </w:tc>
      </w:tr>
      <w:t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工具被策略拒绝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scope、主机/端口、程序、路径、预算或重复动作不满足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查看 Policy Details；由 operator 调整完整配置，不能使用 run override 扩权</w:t>
            </w:r>
          </w:p>
        </w:tc>
      </w:tr>
      <w:t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运行停止或要求修订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checkpoint、工具失败、无证据或重复动作阈值触发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阅读失败分类、计划变化与证据，再决定是否继续</w:t>
            </w:r>
          </w:p>
        </w:tc>
      </w:tr>
      <w:t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前端不实时刷新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SSE、服务令牌或后端连接异常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刷新后使用审计回放；检查 API 与浏览器控制台</w:t>
            </w:r>
          </w:p>
        </w:tc>
      </w:tr>
      <w:t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历史运行显示“正在索引”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老运行尚未生成 summary.json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等待后台回填；详情仍可读取完整状态</w:t>
            </w:r>
          </w:p>
        </w:tc>
      </w:tr>
      <w:t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WP 无法生成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运行未终态、模型未配置、公开事实不足或格式校验失败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先终态化并检查 writeup 事件；不手工补造答案/脚本</w:t>
            </w:r>
          </w:p>
        </w:tc>
      </w:tr>
      <w:tr>
        <w:tc>
          <w:tcPr>
            <w:tcW w:type="dxa" w:w="16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sandbox 不可用</w:t>
            </w:r>
          </w:p>
        </w:tc>
        <w:tc>
          <w:tcPr>
            <w:tcW w:type="dxa" w:w="3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Podman/Docker 引擎、socket、能力清单或 allowlist 不匹配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查看 npm run sandbox-health 和容器日志；不要放开网络或程序白名单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部署细节见 容器化部署，模型配置边界见 模型设置，工具副作用见 工具副作用与审计契约。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XH-202609  |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6" w:color="B7C4D4"/>
      </w:pBdr>
    </w:pPr>
    <w:r>
      <w:rPr>
        <w:rFonts w:ascii="Arial Unicode MS" w:hAnsi="Arial Unicode MS" w:eastAsia="Arial Unicode MS" w:hint="eastAsia"/>
        <w:b/>
        <w:color w:val="5D6B7A"/>
        <w:sz w:val="17"/>
        <w:lang w:eastAsia="zh-CN"/>
      </w:rPr>
      <w:t>烛龙·玄枢 | XH-202609 竞赛提交材料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keepNext/>
      <w:spacing w:before="120" w:after="80"/>
    </w:pPr>
    <w:rPr>
      <w:rFonts w:ascii="Arial Unicode MS" w:hAnsi="Arial Unicode MS" w:eastAsia="Arial Unicode MS"/>
      <w:b/>
      <w:color w:val="0B2545"/>
      <w:sz w:val="48"/>
    </w:rPr>
  </w:style>
  <w:style w:type="paragraph" w:customStyle="1" w:styleId="DocumentSubtitle">
    <w:name w:val="Document Subtitle"/>
    <w:pPr>
      <w:spacing w:after="360"/>
    </w:pPr>
    <w:rPr>
      <w:rFonts w:ascii="Arial Unicode MS" w:hAnsi="Arial Unicode MS" w:eastAsia="Arial Unicode MS"/>
      <w:color w:val="5D6B7A"/>
      <w:sz w:val="20"/>
    </w:rPr>
  </w:style>
  <w:style w:type="paragraph" w:customStyle="1" w:styleId="CodeBlock">
    <w:name w:val="Code Block"/>
    <w:pPr>
      <w:spacing w:before="100" w:after="100"/>
      <w:ind w:left="230" w:right="230"/>
    </w:pPr>
    <w:rPr>
      <w:rFonts w:ascii="Courier New" w:hAnsi="Courier New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用户与部署手册</dc:title>
  <dc:subject>XH-202609 竞赛提交材料</dc:subject>
  <dc:creator>ZhuLong XuanShu Team</dc:creator>
  <cp:keywords/>
  <dc:description>由仓库 Markdown 源文档生成；不含模型密钥、平台令牌、Cookie、Authorization 或隐藏推理。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