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 Unicode MS" w:hAnsi="Arial Unicode MS" w:eastAsia="Arial Unicode MS" w:hint="eastAsia"/>
          <w:b/>
          <w:color w:val="2E74B5"/>
          <w:sz w:val="18"/>
          <w:lang w:eastAsia="zh-CN"/>
        </w:rPr>
        <w:t>XH-202609 竞赛提交材料</w:t>
      </w:r>
    </w:p>
    <w:p>
      <w:pPr>
        <w:pStyle w:val="DocumentTitle"/>
      </w:pPr>
      <w:r>
        <w:t>技术报告</w:t>
      </w:r>
    </w:p>
    <w:p>
      <w:pPr>
        <w:pStyle w:val="DocumentSubtitle"/>
      </w:pPr>
      <w:r>
        <w:t>烛龙·玄枢（ZhuLong XuanShu）——具备自主决策能力的通用网络安全智能体</w:t>
      </w:r>
    </w:p>
    <w:p>
      <w:pPr>
        <w:spacing w:after="280"/>
        <w:pBdr>
          <w:bottom w:val="single" w:sz="6" w:space="6" w:color="2E74B5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1" name="Picture 1" descr="烛龙玄枢控制台总览界面，已脱敏，仅用于说明用户操作界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console-over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 Unicode MS" w:hAnsi="Arial Unicode MS" w:eastAsia="Arial Unicode MS" w:hint="eastAsia"/>
          <w:color w:val="5D6B7A"/>
          <w:sz w:val="18"/>
          <w:lang w:eastAsia="zh-CN"/>
        </w:rPr>
        <w:t>图 1  控制台总览（脱敏示意）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7313"/>
      </w:tblGrid>
      <w:tr>
        <w:trPr>
          <w:tblHeader w:val="true"/>
        </w:trPr>
        <w:tc>
          <w:tcPr>
            <w:tcW w:type="dxa" w:w="20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项目</w:t>
            </w:r>
          </w:p>
        </w:tc>
        <w:tc>
          <w:tcPr>
            <w:tcW w:type="dxa" w:w="7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内容</w:t>
            </w:r>
          </w:p>
        </w:tc>
      </w:tr>
      <w:tr>
        <w:tc>
          <w:tcPr>
            <w:tcW w:type="dxa" w:w="20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文档编号</w:t>
            </w:r>
          </w:p>
        </w:tc>
        <w:tc>
          <w:tcPr>
            <w:tcW w:type="dxa" w:w="7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XH-202609-05</w:t>
            </w:r>
          </w:p>
        </w:tc>
      </w:tr>
      <w:tr>
        <w:tc>
          <w:tcPr>
            <w:tcW w:type="dxa" w:w="20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版本</w:t>
            </w:r>
          </w:p>
        </w:tc>
        <w:tc>
          <w:tcPr>
            <w:tcW w:type="dxa" w:w="7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1.0</w:t>
            </w:r>
          </w:p>
        </w:tc>
      </w:tr>
      <w:tr>
        <w:tc>
          <w:tcPr>
            <w:tcW w:type="dxa" w:w="20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对应代码基线</w:t>
            </w:r>
          </w:p>
        </w:tc>
        <w:tc>
          <w:tcPr>
            <w:tcW w:type="dxa" w:w="7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723f047（main）</w:t>
            </w:r>
          </w:p>
        </w:tc>
      </w:tr>
      <w:tr>
        <w:tc>
          <w:tcPr>
            <w:tcW w:type="dxa" w:w="20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作品名称</w:t>
            </w:r>
          </w:p>
        </w:tc>
        <w:tc>
          <w:tcPr>
            <w:tcW w:type="dxa" w:w="7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烛龙·玄枢——具备自主决策能力的通用网络安全智能体</w:t>
            </w:r>
          </w:p>
        </w:tc>
      </w:tr>
      <w:tr>
        <w:tc>
          <w:tcPr>
            <w:tcW w:type="dxa" w:w="20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编制日期</w:t>
            </w:r>
          </w:p>
        </w:tc>
        <w:tc>
          <w:tcPr>
            <w:tcW w:type="dxa" w:w="7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2026-08-31</w:t>
            </w:r>
          </w:p>
        </w:tc>
      </w:tr>
    </w:tbl>
    <w:p>
      <w:pPr>
        <w:spacing w:after="60"/>
      </w:pPr>
    </w:p>
    <w:p>
      <w:pPr>
        <w:pStyle w:val="Heading1"/>
      </w:pPr>
      <w:r>
        <w:t>摘要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烛龙·玄枢是面向明确授权网络安全任务的自主决策智能体运行时。系统将大模型限定为任务理解、计划、假设生成和下一步行动选择组件，以 PolicyEngine、operator-owned scope、资源预算、结构化工具协议、逐运行隔离和追加式审计链定义不可由模型绕过的工程边界。针对安全任务中输入异构、失败恢复困难、结论难以复核和执行风险高的问题，项目构建了计划先行、策略逐次判定、证据驱动修订、严格提交验证和可回放观测的统一闭环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当前版本实现了前端 Decision Observatory、结构化最终结论与 Flag 展示、终态运行的可下载 WP、拖拽附件、进程内临时模型配置、持久化运行摘要索引、兼容 Podman/Docker Compose 的一键启动脚本。确定性回归、前后端构建和 Compose 配置解析均已通过；该结论仅说明工程基线满足交付门禁，不把一次运行或本地演示误表述为真实比赛成功率。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关键词： 安全智能体；自主决策；策略引擎；最小权限；可解释审计；CTF Write-up；运行时治理</w:t>
      </w:r>
    </w:p>
    <w:p>
      <w:pPr>
        <w:pStyle w:val="Heading1"/>
      </w:pPr>
      <w:r>
        <w:t>1. 研究背景与问题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网络安全任务常混合自然语言目标、日志、接口资料、源码、二进制、压缩包和受控网络交互。传统自动化通常依赖固定流程，面对材料变化、工具失败和证据冲突时缺少自适应能力；大模型虽然能够提出策略，却会带来权限扩张、重复尝试、不可验证结论和敏感信息泄露风险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本项目的核心判断是：安全智能体的价值不在于让模型直接获得更多工具，而在于让模型在严格可执行的边界内完成有证据的策略调整。因此需要回答四个工程问题：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如何把模型的自然语言判断转换成可校验的行动请求？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如何保证网络、命令、文件和资源约束不依赖模型自觉遵守？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如何在失败后强制产生可解释的策略修订，而不是盲目重试？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如何将最终结论、Flag、WP 和人工复核建立在同一事实源上？</w:t>
      </w:r>
    </w:p>
    <w:p>
      <w:pPr>
        <w:pStyle w:val="Heading1"/>
      </w:pPr>
      <w:r>
        <w:t>2. 技术路线</w:t>
      </w:r>
    </w:p>
    <w:p>
      <w:pPr>
        <w:spacing w:before="100" w:after="100"/>
        <w:ind w:left="173" w:right="173"/>
        <w:shd w:fill="F2F4F7"/>
      </w:pPr>
      <w:r>
        <w:rPr>
          <w:rFonts w:ascii="Arial Unicode MS" w:hAnsi="Arial Unicode MS" w:eastAsia="Arial Unicode MS" w:hint="eastAsia"/>
          <w:b/>
          <w:color w:val="1F4D78"/>
          <w:sz w:val="21"/>
          <w:lang w:eastAsia="zh-CN"/>
        </w:rPr>
        <w:t xml:space="preserve">流程示意  </w:t>
      </w:r>
      <w:r>
        <w:rPr>
          <w:rFonts w:ascii="Arial Unicode MS" w:hAnsi="Arial Unicode MS" w:eastAsia="Arial Unicode MS" w:hint="eastAsia"/>
          <w:color w:val="0B2545"/>
          <w:sz w:val="21"/>
          <w:lang w:eastAsia="zh-CN"/>
        </w:rPr>
        <w:t>任务与附件 → 输入归一化 → 计划与假设 → PolicyEngine → 受控工具与隔离执行 → 证据与 checkpoint → 结构化结论与审计。</w:t>
      </w:r>
    </w:p>
    <w:p>
      <w:pPr>
        <w:spacing w:after="4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项目采用五层协同：输入层负责资源受限的材料归一化；决策层维护计划、假设和 checkpoint；策略层核验授权和预算；执行层运行有界工具；事实层以审计链记录可复核事件，并投影给前端。模型可以提出下一步，但不能自行改变 scope、程序白名单、网络权限、输出上限或停止条件。</w:t>
      </w:r>
    </w:p>
    <w:p>
      <w:pPr>
        <w:pStyle w:val="Heading1"/>
      </w:pPr>
      <w:r>
        <w:t>3. 系统实现</w:t>
      </w:r>
    </w:p>
    <w:p>
      <w:pPr>
        <w:pStyle w:val="Heading2"/>
      </w:pPr>
      <w:r>
        <w:t>3.1 受约束自主决策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运行必须先提交包含目标、成功标准、假设和候选工具的计划。每次工具调用先经过 PolicyEngine，检查 scope 模式、精确主机/端口、路径、程序、预算、重复调用和连续动作阈值。达到停滞、失败或节奏阈值后，运行只允许 checkpoint 类动作：Agent 必须记录失败分类、证据、计划变化、下一步及其依据，才可继续调查。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该机制将“自主”落实为可观察的计划、行动和修订，而非展示或存储隐藏思维过程。结论通过结构化 finding、verification、submission 与 finish_task 记录；严格任务要求候选值同时出现在成功工具结果和独立验证文本中。</w:t>
      </w:r>
    </w:p>
    <w:p>
      <w:pPr>
        <w:pStyle w:val="Heading2"/>
      </w:pPr>
      <w:r>
        <w:t>3.2 策略、安全与隔离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所有主动网络能力必须通过 PolicyEngine 和 operator-owned scope。单次运行 override 只能收窄既有范围。run_command 经 Unix socket 发往 sandbox sidecar，以程序与参数的结构化形式启动，不经过 Shell；每个 run 拥有独立 scratch、HOME 和 TMPDIR，附件为只读输入。Compose 中 sandbox 使用 network_mode: none，主动网络仅可通过受 scope 控制的 HTTP/TCP/Browser 工具完成。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工具协议要求 TypeBox 输入模式、有界输出、AbortSignal、预算、审计与确定性测试。二进制方向提供受限 ZIP 解压和字节搜索，分别限制解压条目/总量及扫描前缀/模式/命中/上下文；Radare2、JADX、Pwntools、gdb-multiarch、strace 等只可在固定能力清单、镜像、健康检查和 operator allowlist 同时满足时使用。</w:t>
      </w:r>
    </w:p>
    <w:p>
      <w:pPr>
        <w:pStyle w:val="Heading2"/>
      </w:pPr>
      <w:r>
        <w:t>3.3 追加式事实链与决策可解释性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audit.jsonl 为运行事实源。事件使用顺序号和 SHA-256 前向哈希；工具请求、策略决策和工具结果以同一调用 ID 对应，并标记来源、执行者、关联 ID 和父序号。公开模型上下文、知识注入、工具摘要和状态变化能够回放，但模型 Key、Authorization、Cookie、图片像素和隐藏推理不会写入产物。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React 控制台从同一事实源派生 Decision Observatory：任务 HUD、决策时间线、当前行动、假设、证据关系、策略详情、原始事件、审计完整性、回放、分支、续接和人工复核。UI 不按时间猜测因果关系，也不把聊天文本包装为模型思考。人工复核写入独立文件，因此可校正解释而不篡改原审计事实。</w:t>
      </w:r>
    </w:p>
    <w:p>
      <w:pPr>
        <w:pStyle w:val="Heading2"/>
      </w:pPr>
      <w:r>
        <w:t>3.4 终态结论与竞赛 WP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Run Detail 将终态的 summary 和结构化 submission 作为“运行总结结论”展示；当结果是 CTF Flag 时，使用明确的 Flag 字段突出显示。WP 不由主 Agent 的自由文本直接充当：终态运行可触发独立生成器，生成器只读取任务、结构化状态、公开 transcript、受限工具结果、findings 和验证记录，并要求 YAML 元数据、简明解题过程、完整可运行脚本和精确 submission。生成次数、长度和超时均有限制；格式或事实不足时不制造内容，回退为脱敏兼容报告。</w:t>
      </w:r>
    </w:p>
    <w:p>
      <w:pPr>
        <w:pStyle w:val="Heading2"/>
      </w:pPr>
      <w:r>
        <w:t>3.5 持久化、恢复与可用性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每个运行保存完整 state.json、审计、findings、transcript、review 和 handoff。为了避免历史运行较多时列表逐一载入完整状态，723f047 增加 summary.json：列表优先读摘要，缺少摘要的旧运行以 indexing 状态异步回填；详情仍读完整状态。服务重启采用 no-replay，只结算遗留的非终态运行，避免自动重新执行副作用未知的工具调用。</w:t>
      </w:r>
    </w:p>
    <w:p>
      <w:pPr>
        <w:pStyle w:val="Heading1"/>
      </w:pPr>
      <w:r>
        <w:t>4. 工程质量与验证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本报告对应代码基线 723f0475fbbde81af8ab8056668f17df4da7ff2e。在 Node.js v26.3.0 环境中，npm run check 通过，包含 typecheck、ESLint、后端构建及确定性测试：61 个测试文件通过、1 个跳过，387 个用例通过、1 个跳过。npm --prefix frontend run build 通过；XUANSHU_SERVER_TOKEN=validation-only docker-compose config 通过。对 320 条有效历史运行的列表读取冒烟结果为 pending=0，/v1/runs 约 79 ms。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验证范围覆盖 scope、预算、审计关联、恢复 no-replay、提交/WP、附件分析、工具能力清单、前端事实投影和摘要索引。此处没有声称已在本机完成 Docker 镜像构建、容器启动或真实模型/比赛平台评测；这些项目必须由现场授权环境依据 测试报告 的复测清单完成。</w:t>
      </w:r>
    </w:p>
    <w:p>
      <w:pPr>
        <w:pStyle w:val="Heading1"/>
      </w:pPr>
      <w:r>
        <w:t>5. 创新性与应用价值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36"/>
        <w:gridCol w:w="4944"/>
        <w:gridCol w:w="3180"/>
      </w:tblGrid>
      <w:tr>
        <w:trPr>
          <w:tblHeader w:val="true"/>
        </w:trPr>
        <w:tc>
          <w:tcPr>
            <w:tcW w:type="dxa" w:w="1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维度</w:t>
            </w:r>
          </w:p>
        </w:tc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技术贡献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应用价值</w:t>
            </w:r>
          </w:p>
        </w:tc>
      </w:tr>
      <w:tr>
        <w:tc>
          <w:tcPr>
            <w:tcW w:type="dxa" w:w="1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自主性治理</w:t>
            </w:r>
          </w:p>
        </w:tc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计划先行、逐次策略门禁、停滞检测、checkpoint 和失败修订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避免将“会调用工具”误当作可靠自主性</w:t>
            </w:r>
          </w:p>
        </w:tc>
      </w:tr>
      <w:tr>
        <w:tc>
          <w:tcPr>
            <w:tcW w:type="dxa" w:w="1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事实统一</w:t>
            </w:r>
          </w:p>
        </w:tc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一条追加审计链支撑技术审计、可读轨迹、回放、恢复和分支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减少日志、UI 和恢复状态彼此矛盾</w:t>
            </w:r>
          </w:p>
        </w:tc>
      </w:tr>
      <w:tr>
        <w:tc>
          <w:tcPr>
            <w:tcW w:type="dxa" w:w="1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工具可治理</w:t>
            </w:r>
          </w:p>
        </w:tc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新工具的输入、预算、取消、审计、测试与副作用文档门槛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能力扩展不牺牲可控性</w:t>
            </w:r>
          </w:p>
        </w:tc>
      </w:tr>
      <w:tr>
        <w:tc>
          <w:tcPr>
            <w:tcW w:type="dxa" w:w="1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竞赛结果表达</w:t>
            </w:r>
          </w:p>
        </w:tc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严格 submission、明确 Flag、终态 WP 与下载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将解题结论与公开证据、完整脚本关联</w:t>
            </w:r>
          </w:p>
        </w:tc>
      </w:tr>
      <w:tr>
        <w:tc>
          <w:tcPr>
            <w:tcW w:type="dxa" w:w="1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工程可用性</w:t>
            </w:r>
          </w:p>
        </w:tc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Podman/Docker Compose、一键脚本、内存模型设置、拖拽附件、摘要索引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降低现场部署与长历史运行的操作成本</w:t>
            </w:r>
          </w:p>
        </w:tc>
      </w:tr>
    </w:tbl>
    <w:p>
      <w:pPr>
        <w:spacing w:after="60"/>
      </w:pPr>
    </w:p>
    <w:p>
      <w:pPr>
        <w:pStyle w:val="Heading1"/>
      </w:pPr>
      <w:r>
        <w:t>6. 局限与边界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项目不应被用作无人值守生产扫描器，也不替代人工对授权范围、风险和最终提交的判断。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Docker sidecar 可隔离单次运行的文件空间与网络，但若面向互不信任的多租户，需要部署层提供每运行独立容器或 microVM。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公开工程门禁不能替代真实模型评估；模型、数据集、环境、预算与多次实验必须由评测账本固定后再报告指标。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生产级 SSRF 防护仍需要部署侧 DNS 解析锁定和出口代理等进一步措施。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WP 生成仅在公开证据足以支撑时提供完整脚本，证据不足时应明确复现缺口，不能为形式完整而编造攻击链或答案。</w:t>
      </w:r>
    </w:p>
    <w:p>
      <w:pPr>
        <w:pStyle w:val="Heading1"/>
      </w:pPr>
      <w:r>
        <w:t>7. 结论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烛龙·玄枢将安全智能体中“模型能否自主调整”与“系统能否安全、可审计地执行”统一到一套运行时协议中：模型负责理解、计划和选择，策略负责权限和预算，工具负责有界执行，证据负责验证，审计负责追溯。该方案保持核心循环领域中立，并通过结构化结论、Flag/WP 交付、前端决策观测和容器化启动，为授权安全竞赛和研究场景提供可复核的工程底座。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相关材料包括 方案设计文档、开发文档、测试报告、用户与部署手册、系统架构 和 评测协议。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hint="eastAsia"/>
        <w:color w:val="5D6B7A"/>
        <w:sz w:val="16"/>
        <w:lang w:eastAsia="zh-CN"/>
      </w:rPr>
      <w:t xml:space="preserve">XH-202609  |  第 </w:t>
    </w:r>
    <w:r>
      <w:fldChar w:fldCharType="begin"/>
      <w:instrText xml:space="preserve">PAGE</w:instrText>
      <w:fldChar w:fldCharType="end"/>
    </w:r>
    <w:r>
      <w:rPr>
        <w:rFonts w:ascii="Arial Unicode MS" w:hAnsi="Arial Unicode MS" w:eastAsia="Arial Unicode MS" w:hint="eastAsia"/>
        <w:color w:val="5D6B7A"/>
        <w:sz w:val="16"/>
        <w:lang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6" w:color="B7C4D4"/>
      </w:pBdr>
    </w:pPr>
    <w:r>
      <w:rPr>
        <w:rFonts w:ascii="Arial Unicode MS" w:hAnsi="Arial Unicode MS" w:eastAsia="Arial Unicode MS" w:hint="eastAsia"/>
        <w:b/>
        <w:color w:val="5D6B7A"/>
        <w:sz w:val="17"/>
        <w:lang w:eastAsia="zh-CN"/>
      </w:rPr>
      <w:t>烛龙·玄枢 | XH-202609 竞赛提交材料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keepNext/>
      <w:spacing w:before="120" w:after="80"/>
    </w:pPr>
    <w:rPr>
      <w:rFonts w:ascii="Arial Unicode MS" w:hAnsi="Arial Unicode MS" w:eastAsia="Arial Unicode MS"/>
      <w:b/>
      <w:color w:val="0B2545"/>
      <w:sz w:val="48"/>
    </w:rPr>
  </w:style>
  <w:style w:type="paragraph" w:customStyle="1" w:styleId="DocumentSubtitle">
    <w:name w:val="Document Subtitle"/>
    <w:pPr>
      <w:spacing w:after="360"/>
    </w:pPr>
    <w:rPr>
      <w:rFonts w:ascii="Arial Unicode MS" w:hAnsi="Arial Unicode MS" w:eastAsia="Arial Unicode MS"/>
      <w:color w:val="5D6B7A"/>
      <w:sz w:val="20"/>
    </w:rPr>
  </w:style>
  <w:style w:type="paragraph" w:customStyle="1" w:styleId="CodeBlock">
    <w:name w:val="Code Block"/>
    <w:pPr>
      <w:spacing w:before="100" w:after="100"/>
      <w:ind w:left="230" w:right="230"/>
    </w:pPr>
    <w:rPr>
      <w:rFonts w:ascii="Courier New" w:hAnsi="Courier New" w:eastAsia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技术报告</dc:title>
  <dc:subject>XH-202609 竞赛提交材料</dc:subject>
  <dc:creator>ZhuLong XuanShu Team</dc:creator>
  <cp:keywords/>
  <dc:description>由仓库 Markdown 源文档生成；不含模型密钥、平台令牌、Cookie、Authorization 或隐藏推理。</dc:description>
  <cp:lastModifiedBy/>
  <cp:revision>1</cp:revision>
  <dcterms:created xsi:type="dcterms:W3CDTF">2026-08-31T00:00:00Z</dcterms:created>
  <dcterms:modified xsi:type="dcterms:W3CDTF">2026-08-31T00:00:00Z</dcterms:modified>
  <cp:category/>
</cp:coreProperties>
</file>