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77580c559bb744dc2e67abde5821e74602c705"/>
    <w:p>
      <w:pPr>
        <w:pStyle w:val="Heading1"/>
      </w:pPr>
      <w:r>
        <w:t xml:space="preserve">cdGTS — the Geologic Time Scale as an engine, not a chart</w:t>
      </w:r>
    </w:p>
    <w:p>
      <w:pPr>
        <w:pStyle w:val="FirstParagraph"/>
      </w:pPr>
      <w:r>
        <w:rPr>
          <w:i/>
          <w:iCs/>
        </w:rPr>
        <w:t xml:space="preserve">English ·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한국어</w:t>
        </w:r>
      </w:hyperlink>
    </w:p>
    <w:p>
      <w:pPr>
        <w:pStyle w:val="BodyText"/>
      </w:pPr>
      <w:r>
        <w:rPr>
          <w:b/>
          <w:bCs/>
        </w:rPr>
        <w:t xml:space="preserve">cdGTS (Continuously Deployed Geologic Time Scale)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graph-based geologic time scale engine.</w:t>
      </w:r>
    </w:p>
    <w:bookmarkStart w:id="10" w:name="in-one-paragraph"/>
    <w:p>
      <w:pPr>
        <w:pStyle w:val="Heading2"/>
      </w:pPr>
      <w:r>
        <w:t xml:space="preserve">In one paragraph</w:t>
      </w:r>
    </w:p>
    <w:p>
      <w:pPr>
        <w:pStyle w:val="FirstParagraph"/>
      </w:pPr>
      <w:r>
        <w:t xml:space="preserve">When one boundary age changes, we usually work out the consequences</w:t>
      </w:r>
      <w:r>
        <w:t xml:space="preserve"> </w:t>
      </w:r>
      <w:r>
        <w:rPr>
          <w:b/>
          <w:bCs/>
        </w:rPr>
        <w:t xml:space="preserve">by hand and in spreadsheets</w:t>
      </w:r>
      <w:r>
        <w:t xml:space="preserve">: a new</w:t>
      </w:r>
      <w:r>
        <w:t xml:space="preserve"> </w:t>
      </w:r>
      <w:r>
        <w:t xml:space="preserve">U–Pb date lands, so you re-run an age model, re-fit a correlation, and manually check the neighbouring</w:t>
      </w:r>
      <w:r>
        <w:t xml:space="preserve"> </w:t>
      </w:r>
      <w:r>
        <w:t xml:space="preserve">boundaries and unit durations. cdGTS turns that whole chain —</w:t>
      </w:r>
      <w:r>
        <w:t xml:space="preserve"> </w:t>
      </w:r>
      <w:r>
        <w:rPr>
          <w:b/>
          <w:bCs/>
        </w:rPr>
        <w:t xml:space="preserve">raw observations → age model → correlation →</w:t>
      </w:r>
      <w:r>
        <w:rPr>
          <w:b/>
          <w:bCs/>
        </w:rPr>
        <w:t xml:space="preserve"> </w:t>
      </w:r>
      <w:r>
        <w:rPr>
          <w:b/>
          <w:bCs/>
        </w:rPr>
        <w:t xml:space="preserve">boundary age → chart</w:t>
      </w:r>
      <w:r>
        <w:t xml:space="preserve"> </w:t>
      </w:r>
      <w:r>
        <w:t xml:space="preserve">— into an</w:t>
      </w:r>
      <w:r>
        <w:t xml:space="preserve"> </w:t>
      </w:r>
      <w:r>
        <w:rPr>
          <w:b/>
          <w:bCs/>
        </w:rPr>
        <w:t xml:space="preserve">executable dependency graph (DAG)</w:t>
      </w:r>
      <w:r>
        <w:t xml:space="preserve">. The time scale stops being a</w:t>
      </w:r>
      <w:r>
        <w:t xml:space="preserve"> </w:t>
      </w:r>
      <w:r>
        <w:rPr>
          <w:i/>
          <w:iCs/>
        </w:rPr>
        <w:t xml:space="preserve">chart or</w:t>
      </w:r>
      <w:r>
        <w:rPr>
          <w:i/>
          <w:iCs/>
        </w:rPr>
        <w:t xml:space="preserve"> </w:t>
      </w:r>
      <w:r>
        <w:rPr>
          <w:i/>
          <w:iCs/>
        </w:rPr>
        <w:t xml:space="preserve">book</w:t>
      </w:r>
      <w:r>
        <w:t xml:space="preserve"> </w:t>
      </w:r>
      <w:r>
        <w:t xml:space="preserve">revised only periodically and becomes</w:t>
      </w:r>
      <w:r>
        <w:t xml:space="preserve"> </w:t>
      </w:r>
      <w:r>
        <w:rPr>
          <w:b/>
          <w:bCs/>
        </w:rPr>
        <w:t xml:space="preserve">the output of a pipeline that recomputes, reproducibly, whenever</w:t>
      </w:r>
      <w:r>
        <w:rPr>
          <w:b/>
          <w:bCs/>
        </w:rPr>
        <w:t xml:space="preserve"> </w:t>
      </w:r>
      <w:r>
        <w:rPr>
          <w:b/>
          <w:bCs/>
        </w:rPr>
        <w:t xml:space="preserve">you change an input</w:t>
      </w:r>
      <w:r>
        <w:t xml:space="preserve">. It is an</w:t>
      </w:r>
      <w:r>
        <w:t xml:space="preserve"> </w:t>
      </w:r>
      <w:r>
        <w:rPr>
          <w:i/>
          <w:iCs/>
        </w:rPr>
        <w:t xml:space="preserve">engine</w:t>
      </w:r>
      <w:r>
        <w:t xml:space="preserve">: swap a datum or retune a model, and the downstream ages re-propagate so</w:t>
      </w:r>
      <w:r>
        <w:t xml:space="preserve"> </w:t>
      </w:r>
      <w:r>
        <w:t xml:space="preserve">you see the effect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— the idea borrowed from software CI/CD,</w:t>
      </w:r>
      <w:r>
        <w:t xml:space="preserve"> </w:t>
      </w:r>
      <w:r>
        <w:rPr>
          <w:i/>
          <w:iCs/>
        </w:rPr>
        <w:t xml:space="preserve">"CI for science."</w:t>
      </w:r>
    </w:p>
    <w:p>
      <w:pPr>
        <w:pStyle w:val="BlockText"/>
      </w:pPr>
      <w:r>
        <w:rPr>
          <w:b/>
          <w:bCs/>
        </w:rPr>
        <w:t xml:space="preserve">Status.</w:t>
      </w:r>
      <w:r>
        <w:t xml:space="preserve"> </w:t>
      </w:r>
      <w:r>
        <w:t xml:space="preserve">cdGTS</w:t>
      </w:r>
      <w:r>
        <w:t xml:space="preserve"> </w:t>
      </w:r>
      <w:r>
        <w:rPr>
          <w:i/>
          <w:iCs/>
        </w:rPr>
        <w:t xml:space="preserve">aims</w:t>
      </w:r>
      <w:r>
        <w:t xml:space="preserve"> </w:t>
      </w:r>
      <w:r>
        <w:t xml:space="preserve">to make the computation, evidence, and revision of the time scale an executable</w:t>
      </w:r>
      <w:r>
        <w:t xml:space="preserve"> </w:t>
      </w:r>
      <w:r>
        <w:t xml:space="preserve">dependency graph. Today, at</w:t>
      </w:r>
      <w:r>
        <w:t xml:space="preserve"> </w:t>
      </w:r>
      <w:r>
        <w:rPr>
          <w:b/>
          <w:bCs/>
        </w:rPr>
        <w:t xml:space="preserve">v0.1.70</w:t>
      </w:r>
      <w:r>
        <w:t xml:space="preserve">, it is a</w:t>
      </w:r>
      <w:r>
        <w:t xml:space="preserve"> </w:t>
      </w:r>
      <w:r>
        <w:rPr>
          <w:b/>
          <w:bCs/>
        </w:rPr>
        <w:t xml:space="preserve">preliminary, proof-of-concept prototype</w:t>
      </w:r>
      <w:r>
        <w:t xml:space="preserve">: age–depth</w:t>
      </w:r>
      <w:r>
        <w:t xml:space="preserve"> </w:t>
      </w:r>
      <w:r>
        <w:t xml:space="preserve">computation, limited uncertainty/covariance propagation, bake &amp; diff, and a propose/review/ratify flow are</w:t>
      </w:r>
      <w:r>
        <w:t xml:space="preserve"> </w:t>
      </w:r>
      <w:r>
        <w:t xml:space="preserve">implemented; rescaling dependent ages after a shared calibration-constant change, and joint Bayesian</w:t>
      </w:r>
      <w:r>
        <w:t xml:space="preserve"> </w:t>
      </w:r>
      <w:r>
        <w:t xml:space="preserve">estimation, are on the roadmap. Read the present tense below as "the implemented slice"; roadmap items are</w:t>
      </w:r>
      <w:r>
        <w:t xml:space="preserve"> </w:t>
      </w:r>
      <w:r>
        <w:t xml:space="preserve">flagged as such.</w:t>
      </w:r>
    </w:p>
    <w:bookmarkEnd w:id="10"/>
    <w:bookmarkStart w:id="14" w:name="two-things-to-take-away"/>
    <w:p>
      <w:pPr>
        <w:pStyle w:val="Heading2"/>
      </w:pPr>
      <w:r>
        <w:t xml:space="preserve">Two things to take away</w:t>
      </w:r>
    </w:p>
    <w:p>
      <w:pPr>
        <w:pStyle w:val="FirstParagraph"/>
      </w:pPr>
      <w:r>
        <w:rPr>
          <w:b/>
          <w:bCs/>
        </w:rPr>
        <w:t xml:space="preserve">① It is an engine — change an input, see the result at once.</w:t>
      </w:r>
      <w:r>
        <w:t xml:space="preserve"> </w:t>
      </w:r>
      <w:r>
        <w:t xml:space="preserve">Every number in the chart is either a leaf a</w:t>
      </w:r>
      <w:r>
        <w:t xml:space="preserve"> </w:t>
      </w:r>
      <w:r>
        <w:t xml:space="preserve">person authored (a published age, a GSSA) or a value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from the nodes upstream of it. Edit a</w:t>
      </w:r>
      <w:r>
        <w:t xml:space="preserve"> </w:t>
      </w:r>
      <w:r>
        <w:t xml:space="preserve">radiometric age or retune an age–depth model and the boundary ages recompute along the dependency graph — no</w:t>
      </w:r>
      <w:r>
        <w:t xml:space="preserve"> </w:t>
      </w:r>
      <w:r>
        <w:t xml:space="preserve">manual re-derivation, no stale spreadsheet, so "what if we accept this?" becomes a live, reproducible result.</w:t>
      </w:r>
      <w:r>
        <w:t xml:space="preserve"> </w:t>
      </w:r>
      <w:r>
        <w:t xml:space="preserve">(Changing a shared calibration constant re-wires the covariance today; rescaling the dependent age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is</w:t>
      </w:r>
      <w:r>
        <w:t xml:space="preserve"> </w:t>
      </w:r>
      <w:r>
        <w:t xml:space="preserve">on the roadmap — R04 L2.)</w:t>
      </w:r>
    </w:p>
    <w:p>
      <w:pPr>
        <w:pStyle w:val="BodyText"/>
      </w:pPr>
      <w:r>
        <w:rPr>
          <w:b/>
          <w:bCs/>
        </w:rPr>
        <w:t xml:space="preserve">② It is versioned — every result is a frozen, comparable release.</w:t>
      </w:r>
      <w:r>
        <w:t xml:space="preserve"> </w:t>
      </w:r>
      <w:r>
        <w:t xml:space="preserve">A completed graph is</w:t>
      </w:r>
      <w:r>
        <w:t xml:space="preserve"> </w:t>
      </w:r>
      <w:r>
        <w:rPr>
          <w:i/>
          <w:iCs/>
        </w:rPr>
        <w:t xml:space="preserve">baked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immutable, versioned release</w:t>
      </w:r>
      <w:r>
        <w:t xml:space="preserve"> </w:t>
      </w:r>
      <w:r>
        <w:t xml:space="preserve">(an ICC snapshot). You can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a baked release against the published</w:t>
      </w:r>
      <w:r>
        <w:t xml:space="preserve"> </w:t>
      </w:r>
      <w:r>
        <w:t xml:space="preserve">baseline (or against another release) and get a summary of which boundaries moved and how the boundary set and</w:t>
      </w:r>
      <w:r>
        <w:t xml:space="preserve"> </w:t>
      </w:r>
      <w:r>
        <w:t xml:space="preserve">definition types changed. Reproducibility and provenance are built in, not bolted on: a release freezes the</w:t>
      </w:r>
      <w:r>
        <w:t xml:space="preserve"> </w:t>
      </w:r>
      <w:r>
        <w:t xml:space="preserve">boundary results and their citations, and points back to the source graph that produced it as provenance.</w:t>
      </w:r>
    </w:p>
    <w:p>
      <w:pPr>
        <w:pStyle w:val="BodyText"/>
      </w:pPr>
      <w:r>
        <w:drawing>
          <wp:inline>
            <wp:extent cx="5334000" cy="428625"/>
            <wp:effectExtent b="0" l="0" r="0" t="0"/>
            <wp:docPr descr="Pipeline — observations → age model → correlation → boundary age → bake → diff" title="" id="12" name="Picture"/>
            <a:graphic>
              <a:graphicData uri="http://schemas.openxmlformats.org/drawingml/2006/picture">
                <pic:pic>
                  <pic:nvPicPr>
                    <pic:cNvPr descr="/tmp/claude-1000/-home-jikhanjung-projects-cdGTS/d5d6bdf2-f38f-4ee0-aa89-653ba0dd67e3/scratchpad/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Xaed447ac5563f3a0e8af66a17030ae420762fe8"/>
    <w:p>
      <w:pPr>
        <w:pStyle w:val="Heading2"/>
      </w:pPr>
      <w:r>
        <w:t xml:space="preserve">The familiar picture, in an unfamiliar form</w:t>
      </w:r>
    </w:p>
    <w:p>
      <w:pPr>
        <w:pStyle w:val="FirstParagraph"/>
      </w:pPr>
      <w:r>
        <w:t xml:space="preserve">This is work you already do — it just lives scattered across papers, tables, and private notes, and no machine</w:t>
      </w:r>
      <w:r>
        <w:t xml:space="preserve"> </w:t>
      </w:r>
      <w:r>
        <w:t xml:space="preserve">can re-run it. cdGTS makes that structure a first-class citizen.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Boundaries are nodes; a unit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node group</w:t>
      </w:r>
      <w:r>
        <w:rPr>
          <w:b/>
          <w:bCs/>
        </w:rPr>
        <w:t xml:space="preserve"> </w:t>
      </w:r>
      <w:r>
        <w:rPr>
          <w:b/>
          <w:bCs/>
        </w:rPr>
        <w:t xml:space="preserve">(span) bounded by two of them.</w:t>
      </w:r>
      <w:r>
        <w:t xml:space="preserve"> </w:t>
      </w:r>
      <w:r>
        <w:t xml:space="preserve">GSSP boundaries are defined</w:t>
      </w:r>
      <w:r>
        <w:t xml:space="preserve"> </w:t>
      </w:r>
      <w:r>
        <w:t xml:space="preserve">by a physical point → their ages are</w:t>
      </w:r>
      <w:r>
        <w:t xml:space="preserve"> </w:t>
      </w:r>
      <w:r>
        <w:rPr>
          <w:i/>
          <w:iCs/>
        </w:rPr>
        <w:t xml:space="preserve">derived</w:t>
      </w:r>
      <w:r>
        <w:t xml:space="preserve">; GSSA boundaries are defined by a decreed number → the 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definition, and the arrows point the other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Provenance is first-class.</w:t>
      </w:r>
      <w:r>
        <w:t xml:space="preserve"> </w:t>
      </w:r>
      <w:r>
        <w:t xml:space="preserve">Which observation, which calibration constant, which paper a given age rests on</w:t>
      </w:r>
      <w:r>
        <w:t xml:space="preserve"> </w:t>
      </w:r>
      <w:r>
        <w:t xml:space="preserve">is recorded as edges. Click a boundary and you see the whole chain of evidence its number stands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 flows along the wiring.</w:t>
      </w:r>
      <w:r>
        <w:t xml:space="preserve"> </w:t>
      </w:r>
      <w:r>
        <w:t xml:space="preserve">If two ages share the same ²³⁸U decay constant, the engine uses that</w:t>
      </w:r>
      <w:r>
        <w:t xml:space="preserve"> </w:t>
      </w:r>
      <w:r>
        <w:t xml:space="preserve">explicitly tagged shared dependency to propagate their covariance in supported computation paths — the part a</w:t>
      </w:r>
      <w:r>
        <w:t xml:space="preserve"> </w:t>
      </w:r>
      <w:r>
        <w:t xml:space="preserve">naive independence assumption misses.</w:t>
      </w:r>
    </w:p>
    <w:bookmarkEnd w:id="15"/>
    <w:bookmarkStart w:id="16" w:name="X411f2b53b5f31da296b3fcbcaf5a5de33cf8d33"/>
    <w:p>
      <w:pPr>
        <w:pStyle w:val="Heading2"/>
      </w:pPr>
      <w:r>
        <w:t xml:space="preserve">What is actually running (deployed, not a concept)</w:t>
      </w:r>
    </w:p>
    <w:p>
      <w:pPr>
        <w:pStyle w:val="FirstParagraph"/>
      </w:pPr>
      <w:r>
        <w:t xml:space="preserve">It began as a brainstorm but is now a</w:t>
      </w:r>
      <w:r>
        <w:t xml:space="preserve"> </w:t>
      </w:r>
      <w:r>
        <w:rPr>
          <w:b/>
          <w:bCs/>
        </w:rPr>
        <w:t xml:space="preserve">deployed web app</w:t>
      </w:r>
      <w:r>
        <w:t xml:space="preserve">: a node editor where you edit a graph, evaluate it,</w:t>
      </w:r>
      <w:r>
        <w:t xml:space="preserve"> </w:t>
      </w:r>
      <w:r>
        <w:t xml:space="preserve">and diff it against the published time scale. Worked examples reconstructed into the engine: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Permian–Triassic boundary</w:t>
      </w:r>
      <w:r>
        <w:t xml:space="preserve"> </w:t>
      </w:r>
      <w:r>
        <w:t xml:space="preserve">— GSSP (Meishan); the canonical case where the age is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by local</w:t>
      </w:r>
      <w:r>
        <w:t xml:space="preserve"> </w:t>
      </w:r>
      <w:r>
        <w:t xml:space="preserve">age–depth interpolation.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of Cambrian</w:t>
      </w:r>
      <w:r>
        <w:t xml:space="preserve"> </w:t>
      </w:r>
      <w:r>
        <w:t xml:space="preserve">— U–Pb ash beds in three sections (Oman, Namibia, Siberia) bracket the δ¹³C BACE</w:t>
      </w:r>
      <w:r>
        <w:t xml:space="preserve"> </w:t>
      </w:r>
      <w:r>
        <w:t xml:space="preserve">excursion → age–depth → cross-continental correlation → calibration transfer to the</w:t>
      </w:r>
      <w:r>
        <w:t xml:space="preserve"> </w:t>
      </w:r>
      <w:r>
        <w:rPr>
          <w:i/>
          <w:iCs/>
        </w:rPr>
        <w:t xml:space="preserve">T. pedum</w:t>
      </w:r>
      <w:r>
        <w:t xml:space="preserve"> </w:t>
      </w:r>
      <w:r>
        <w:t xml:space="preserve">FAD → the</w:t>
      </w:r>
      <w:r>
        <w:t xml:space="preserve"> </w:t>
      </w:r>
      <w:r>
        <w:t xml:space="preserve">boundary age (≈538.8 Ma). The correlation-driven case where the age comes from</w:t>
      </w:r>
      <w:r>
        <w:t xml:space="preserve"> </w:t>
      </w:r>
      <w:r>
        <w:rPr>
          <w:b/>
          <w:bCs/>
        </w:rPr>
        <w:t xml:space="preserve">another continent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Precambrian GSSA</w:t>
      </w:r>
      <w:r>
        <w:t xml:space="preserve"> </w:t>
      </w:r>
      <w:r>
        <w:t xml:space="preserve">— the case where the number is the definition (arrows reversed).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full ICC reconstruction</w:t>
      </w:r>
      <w:r>
        <w:t xml:space="preserve"> </w:t>
      </w:r>
      <w:r>
        <w:t xml:space="preserve">— periods as node groups (spans), age boundaries wired as order-edge chains, the</w:t>
      </w:r>
      <w:r>
        <w:t xml:space="preserve"> </w:t>
      </w:r>
      <w:r>
        <w:t xml:space="preserve">whole Eon-to-Age column assembled into one graph (hundreds of nodes), merged age→period→era→chart.</w:t>
      </w:r>
    </w:p>
    <w:p>
      <w:pPr>
        <w:pStyle w:val="FirstParagraph"/>
      </w:pPr>
      <w:r>
        <w:t xml:space="preserve">One graph yields two products —</w:t>
      </w:r>
      <w:r>
        <w:t xml:space="preserve"> </w:t>
      </w:r>
      <w:r>
        <w:rPr>
          <w:b/>
          <w:bCs/>
        </w:rPr>
        <w:t xml:space="preserve">ICC = bake</w:t>
      </w:r>
      <w:r>
        <w:t xml:space="preserve"> </w:t>
      </w:r>
      <w:r>
        <w:t xml:space="preserve">(a frozen chart snapshot; an authoritative release once ratified)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GTS = narrate</w:t>
      </w:r>
      <w:r>
        <w:t xml:space="preserve"> </w:t>
      </w:r>
      <w:r>
        <w:t xml:space="preserve">(prose rendered deterministically from structured fields; no LLM invention).</w:t>
      </w:r>
    </w:p>
    <w:bookmarkEnd w:id="16"/>
    <w:bookmarkStart w:id="17" w:name="why-a-working-stratigrapher-should-care"/>
    <w:p>
      <w:pPr>
        <w:pStyle w:val="Heading2"/>
      </w:pPr>
      <w:r>
        <w:t xml:space="preserve">Why a working stratigrapher should care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"If we bring this new evidence into the model, what changes?" — in one click.</w:t>
      </w:r>
      <w:r>
        <w:t xml:space="preserve"> </w:t>
      </w:r>
      <w:r>
        <w:t xml:space="preserve">A new radiometric age, a</w:t>
      </w:r>
      <w:r>
        <w:t xml:space="preserve"> </w:t>
      </w:r>
      <w:r>
        <w:t xml:space="preserve">revised age–depth model, a different correlation — edit the graph → re-bake →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against the published</w:t>
      </w:r>
      <w:r>
        <w:t xml:space="preserve"> </w:t>
      </w:r>
      <w:r>
        <w:t xml:space="preserve">baseline seeded in the app (ICC</w:t>
      </w:r>
      <w:r>
        <w:t xml:space="preserve"> </w:t>
      </w:r>
      <w:r>
        <w:rPr>
          <w:rStyle w:val="VerbatimChar"/>
        </w:rPr>
        <w:t xml:space="preserve">ICS-2024/12</w:t>
      </w:r>
      <w:r>
        <w:t xml:space="preserve">). See which boundaries moved, by how much, and how the boundary</w:t>
      </w:r>
      <w:r>
        <w:t xml:space="preserve"> </w:t>
      </w:r>
      <w:r>
        <w:t xml:space="preserve">set and definition types changed. The between-editions "what if" becomes a reproducible artifact, not hand</w:t>
      </w:r>
      <w:r>
        <w:t xml:space="preserve"> </w:t>
      </w:r>
      <w:r>
        <w:t xml:space="preserve">arithmetic.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Coherence gates catch silent errors.</w:t>
      </w:r>
      <w:r>
        <w:t xml:space="preserve"> </w:t>
      </w:r>
      <w:r>
        <w:t xml:space="preserve">The engine checks the authored boundary-succession (order) chains</w:t>
      </w:r>
      <w:r>
        <w:t xml:space="preserve"> </w:t>
      </w:r>
      <w:r>
        <w:t xml:space="preserve">(L1) and automatically verifies that every unit spanned by a gateway has duration &gt; 0 (L2 — catching</w:t>
      </w:r>
      <w:r>
        <w:t xml:space="preserve"> </w:t>
      </w:r>
      <w:r>
        <w:t xml:space="preserve">zero-length units and reversed successions).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competing correlation is just a competing graph.</w:t>
      </w:r>
      <w:r>
        <w:t xml:space="preserve"> </w:t>
      </w:r>
      <w:r>
        <w:t xml:space="preserve">Correlation is a load-bearing assumption; because it</w:t>
      </w:r>
      <w:r>
        <w:t xml:space="preserve"> </w:t>
      </w:r>
      <w:r>
        <w:t xml:space="preserve">lives as an explicit edge, an alternative correlation is simply a different candidate you bake and diff with</w:t>
      </w:r>
      <w:r>
        <w:t xml:space="preserve"> </w:t>
      </w:r>
      <w:r>
        <w:t xml:space="preserve">the same machinery — models compared head-to-head instead of argued in the abstract (competing models =</w:t>
      </w:r>
      <w:r>
        <w:t xml:space="preserve"> </w:t>
      </w:r>
      <w:r>
        <w:t xml:space="preserve">multiple candidates in one graph).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 / ratify mirrors how a subcommission actually works.</w:t>
      </w:r>
      <w:r>
        <w:t xml:space="preserve"> </w:t>
      </w:r>
      <w:r>
        <w:t xml:space="preserve">Log in → fork → edit →</w:t>
      </w:r>
      <w:r>
        <w:t xml:space="preserve"> </w:t>
      </w:r>
      <w:r>
        <w:rPr>
          <w:b/>
          <w:bCs/>
        </w:rPr>
        <w:t xml:space="preserve">propose → review →</w:t>
      </w:r>
      <w:r>
        <w:rPr>
          <w:b/>
          <w:bCs/>
        </w:rPr>
        <w:t xml:space="preserve"> </w:t>
      </w:r>
      <w:r>
        <w:rPr>
          <w:b/>
          <w:bCs/>
        </w:rPr>
        <w:t xml:space="preserve">ratify</w:t>
      </w:r>
      <w:r>
        <w:t xml:space="preserve">. Authorities, memberships, and a ratification step are in the model, so a time-scale change is</w:t>
      </w:r>
      <w:r>
        <w:t xml:space="preserve"> </w:t>
      </w:r>
      <w:r>
        <w:t xml:space="preserve">reviewed and approved like a pull request. Humans author the responsible nodes (values = leaves, ordering =</w:t>
      </w:r>
      <w:r>
        <w:t xml:space="preserve"> </w:t>
      </w:r>
      <w:r>
        <w:t xml:space="preserve">order edges); the machine propagates, checks, and diffs.</w:t>
      </w:r>
    </w:p>
    <w:bookmarkEnd w:id="17"/>
    <w:bookmarkStart w:id="18" w:name="what-it-is-not-honestly"/>
    <w:p>
      <w:pPr>
        <w:pStyle w:val="Heading2"/>
      </w:pPr>
      <w:r>
        <w:t xml:space="preserve">What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(honestly)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is an abstraction, not a full record of practice.</w:t>
      </w:r>
      <w:r>
        <w:t xml:space="preserve"> </w:t>
      </w:r>
      <w:r>
        <w:t xml:space="preserve">The real reasoning behind any boundary is far more</w:t>
      </w:r>
      <w:r>
        <w:t xml:space="preserve"> </w:t>
      </w:r>
      <w:r>
        <w:t xml:space="preserve">tangled than any graph, and cdGTS does not try to capture every step of it — that would be near-impossible.</w:t>
      </w:r>
      <w:r>
        <w:t xml:space="preserve"> </w:t>
      </w:r>
      <w:r>
        <w:t xml:space="preserve">The aim is to model a</w:t>
      </w:r>
      <w:r>
        <w:t xml:space="preserve"> </w:t>
      </w:r>
      <w:r>
        <w:rPr>
          <w:i/>
          <w:iCs/>
        </w:rPr>
        <w:t xml:space="preserve">conceptually coherent</w:t>
      </w:r>
      <w:r>
        <w:t xml:space="preserve"> </w:t>
      </w:r>
      <w:r>
        <w:t xml:space="preserve">reconstruction of how the time scale is built, grounded in the</w:t>
      </w:r>
      <w:r>
        <w:t xml:space="preserve"> </w:t>
      </w:r>
      <w:r>
        <w:t xml:space="preserve">published literature, at the level of abstraction where the dependencies, evidence, and consequences become</w:t>
      </w:r>
      <w:r>
        <w:t xml:space="preserve"> </w:t>
      </w:r>
      <w:r>
        <w:t xml:space="preserve">explicit and inspectable.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does not invent a time scale.</w:t>
      </w:r>
      <w:r>
        <w:t xml:space="preserve"> </w:t>
      </w:r>
      <w:r>
        <w:t xml:space="preserve">People place the responsible (load-bearing) nodes; the machine only</w:t>
      </w:r>
      <w:r>
        <w:t xml:space="preserve"> </w:t>
      </w:r>
      <w:r>
        <w:t xml:space="preserve">propagates, reconciles, and diffs. It does not replace expert judgement — it makes that judgement</w:t>
      </w:r>
      <w:r>
        <w:t xml:space="preserve"> </w:t>
      </w:r>
      <w:r>
        <w:rPr>
          <w:b/>
          <w:bCs/>
        </w:rPr>
        <w:t xml:space="preserve">executable and auditable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reconstructed examples are demonstrations</w:t>
      </w:r>
      <w:r>
        <w:t xml:space="preserve"> </w:t>
      </w:r>
      <w:r>
        <w:t xml:space="preserve">of what the machinery can do, not a competing time scale.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is an early, proof-of-concept prototype (v0.1.70).</w:t>
      </w:r>
      <w:r>
        <w:t xml:space="preserve"> </w:t>
      </w:r>
      <w:r>
        <w:t xml:space="preserve">The schema and kernels run, but input data formats</w:t>
      </w:r>
      <w:r>
        <w:t xml:space="preserve"> </w:t>
      </w:r>
      <w:r>
        <w:t xml:space="preserve">and some statistical procedures (e.g. joint Bayesian estimation) are still evolving.</w:t>
      </w:r>
    </w:p>
    <w:bookmarkEnd w:id="18"/>
    <w:bookmarkStart w:id="24" w:name="see-it"/>
    <w:p>
      <w:pPr>
        <w:pStyle w:val="Heading2"/>
      </w:pPr>
      <w:r>
        <w:t xml:space="preserve">See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https://cdgts.paleobytes.info</w:t>
        </w:r>
      </w:hyperlink>
      <w:r>
        <w:t xml:space="preserve"> </w:t>
      </w:r>
      <w:r>
        <w:t xml:space="preserve">— open a graph in the Editor, evaluate it, and diff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 map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concept-map.md</w:t>
        </w:r>
      </w:hyperlink>
      <w:r>
        <w:t xml:space="preserve"> </w:t>
      </w:r>
      <w:r>
        <w:t xml:space="preserve">— tiers (registry · graph · release) × node categories, and the full document map.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Three cases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P–T (GSSP · local interpolation)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Base of Cambrian (correlation-driven)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Precambrian GSSA (decreed number)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one line</w:t>
      </w:r>
      <w:r>
        <w:t xml:space="preserve">: give the machine a graph in which people place the authored nodes, and it handles the rest —</w:t>
      </w:r>
      <w:r>
        <w:t xml:space="preserve"> </w:t>
      </w:r>
      <w:r>
        <w:t xml:space="preserve">propagation, coherence, and diff — turning</w:t>
      </w:r>
      <w:r>
        <w:t xml:space="preserve"> </w:t>
      </w:r>
      <w:r>
        <w:rPr>
          <w:i/>
          <w:iCs/>
        </w:rPr>
        <w:t xml:space="preserve">the process of studying and revising the time scale itself</w:t>
      </w:r>
      <w:r>
        <w:t xml:space="preserve"> </w:t>
      </w:r>
      <w:r>
        <w:t xml:space="preserve">into a</w:t>
      </w:r>
      <w:r>
        <w:t xml:space="preserve"> </w:t>
      </w:r>
      <w:r>
        <w:t xml:space="preserve">reproducible, versioned engine.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2" Target="case-cambrian-base-correlation_en.md" TargetMode="External" /><Relationship Type="http://schemas.openxmlformats.org/officeDocument/2006/relationships/hyperlink" Id="rId21" Target="case-permian-triassic_en.md" TargetMode="External" /><Relationship Type="http://schemas.openxmlformats.org/officeDocument/2006/relationships/hyperlink" Id="rId23" Target="case-precambrian-gssa_en.md" TargetMode="External" /><Relationship Type="http://schemas.openxmlformats.org/officeDocument/2006/relationships/hyperlink" Id="rId20" Target="concept-map_en.md" TargetMode="External" /><Relationship Type="http://schemas.openxmlformats.org/officeDocument/2006/relationships/hyperlink" Id="rId19" Target="https://cdgts.paleobytes.info" TargetMode="External" /><Relationship Type="http://schemas.openxmlformats.org/officeDocument/2006/relationships/hyperlink" Id="rId9" Target="introdu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ase-cambrian-base-correlation_en.md" TargetMode="External" /><Relationship Type="http://schemas.openxmlformats.org/officeDocument/2006/relationships/hyperlink" Id="rId21" Target="case-permian-triassic_en.md" TargetMode="External" /><Relationship Type="http://schemas.openxmlformats.org/officeDocument/2006/relationships/hyperlink" Id="rId23" Target="case-precambrian-gssa_en.md" TargetMode="External" /><Relationship Type="http://schemas.openxmlformats.org/officeDocument/2006/relationships/hyperlink" Id="rId20" Target="concept-map_en.md" TargetMode="External" /><Relationship Type="http://schemas.openxmlformats.org/officeDocument/2006/relationships/hyperlink" Id="rId19" Target="https://cdgts.paleobytes.info" TargetMode="External" /><Relationship Type="http://schemas.openxmlformats.org/officeDocument/2006/relationships/hyperlink" Id="rId9" Target="introdu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2026-07-20T05:48:28Z</dcterms:created>
  <dcterms:modified xsi:type="dcterms:W3CDTF">2026-07-20T05:48:28Z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