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pPr>
      <w:r>
        <w:rPr/>
        <w:t>COMPSYS302 Project B Indicative Marking Checklist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03"/>
        <w:gridCol w:w="7252"/>
        <w:gridCol w:w="1125"/>
      </w:tblGrid>
      <w:tr>
        <w:trPr>
          <w:trHeight w:val="323" w:hRule="atLeast"/>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Grade</w:t>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Task/Feature Description</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C</w:t>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Application runs following README instructions on Linux</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User can log in</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bookmarkStart w:id="0" w:name="__DdeLink__278_1464062910"/>
            <w:bookmarkEnd w:id="0"/>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User can see who is currently online</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User can see and edit their profile page, and see profiles for other users</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User can send, receive, and view messages+files with someone online</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B/B-</w:t>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Automatically refreshing page (or refreshing content) and/or notifications</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Good use of database(s)</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Use of encryption/hashing/data security within the application</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Semi (1)</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Embedded media player for audio/video</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Displays confirmation of message receipt</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Show user status (at a minimum, including online, away, offline)</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(Local) blacklisting of disruptive clients / unwanted users</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Logs out from the server upon application exit</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B+/B</w:t>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Communication of text formatting of messages</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Rate Limiting</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Use of effective inter-app encryption/hashing/data security including handshake</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Use of threading for communicating with login server regularly</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Search for profile pages and messages</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 (2)</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(Good) Page Templating</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Modular and Pythonic code, including commenting and documentation</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Group conversations</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A</w:t>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Fallback P2P Networking if login server goes down </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Multiple sessions (users) supported simultaneously</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Unit Testing</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Nice user interface (preferably compatible cross-browser)</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Offline Messaging (without central server)</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2FA (Two Factor Authentication)</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Events co-ordination system</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r>
        <w:trPr>
          <w:cantSplit w:val="false"/>
        </w:trPr>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tc>
        <w:tc>
          <w:tcPr>
            <w:tcW w:w="7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Fails graciously when interacting with substandard clients</w:t>
            </w:r>
          </w:p>
        </w:tc>
        <w:tc>
          <w:tcPr>
            <w:tcW w:w="1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Done</w:t>
            </w:r>
          </w:p>
        </w:tc>
      </w:tr>
    </w:tbl>
    <w:p>
      <w:pPr>
        <w:pStyle w:val="Normal"/>
        <w:rPr>
          <w:b/>
        </w:rPr>
      </w:pPr>
      <w:r>
        <w:rPr>
          <w:b/>
        </w:rPr>
        <w:t>All inter-app features must be supported by at least two other nodes/clients as well.</w:t>
        <w:br/>
        <w:t>You must list at least two supported clients (UPI) in your README.</w:t>
      </w:r>
    </w:p>
    <w:p>
      <w:pPr>
        <w:pStyle w:val="Normal"/>
        <w:rPr/>
      </w:pPr>
      <w:r>
        <w:rPr>
          <w:b/>
        </w:rPr>
        <w:t>You must include a copy of this table with your submission</w:t>
      </w:r>
      <w:r>
        <w:rPr/>
        <w:t>, with the items that you think you have completed marked as done.</w:t>
      </w:r>
    </w:p>
    <w:p>
      <w:pPr>
        <w:pStyle w:val="Normal"/>
        <w:rPr/>
      </w:pPr>
      <w:r>
        <w:rPr>
          <w:b/>
        </w:rPr>
        <w:t>You must complete all the requirements for the C grade (minimum spec) to be eligible for consideration for any higher grade.</w:t>
      </w:r>
      <w:r>
        <w:rPr/>
        <w:t xml:space="preserve"> To get the grade indicated on the left, you must complete at least </w:t>
      </w:r>
      <w:r>
        <w:rPr>
          <w:b/>
        </w:rPr>
        <w:t>four</w:t>
      </w:r>
      <w:r>
        <w:rPr/>
        <w:t xml:space="preserve"> of the items from the appropriate grade. Items from a higher grade can be used</w:t>
      </w:r>
      <w:bookmarkStart w:id="1" w:name="_GoBack"/>
      <w:bookmarkEnd w:id="1"/>
      <w:r>
        <w:rPr/>
        <w:t xml:space="preserve"> to substitute for items in a lower grade (i.e. if you have three items in B/B- category and five items in the B+/B category, one of the B+/B category items can be counted towards the B/B- category).</w:t>
      </w:r>
    </w:p>
    <w:p>
      <w:pPr>
        <w:pStyle w:val="Normal"/>
        <w:rPr/>
      </w:pPr>
      <w:r>
        <w:rPr/>
        <w:t>To qualify for the item in the higher grade, it must be beyond what is necessary for the minimum spec. For example, within-app hashing is required to login to the login server – you must demonstrate additional encryption/hashing/data security beyond that.</w:t>
      </w:r>
    </w:p>
    <w:p>
      <w:pPr>
        <w:pStyle w:val="Normal"/>
        <w:rPr>
          <w:b/>
        </w:rPr>
      </w:pPr>
      <w:r>
        <w:rPr>
          <w:b/>
        </w:rPr>
        <w:t>Please note that this marking checklist is indicative only, and may still change after the final deadline if there are other features identified or if rebalancing of the checklist is needed.</w:t>
      </w:r>
    </w:p>
    <w:p>
      <w:pPr>
        <w:pStyle w:val="Normal"/>
        <w:rPr/>
      </w:pPr>
      <w:r>
        <w:rPr/>
        <w:t>1. Hashing has been used to create unique event Ids</w:t>
      </w:r>
    </w:p>
    <w:p>
      <w:pPr>
        <w:pStyle w:val="Normal"/>
        <w:rPr/>
      </w:pPr>
      <w:r>
        <w:rPr/>
        <w:t>2. Searching for profiles has occurred</w:t>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Python Project Marking Checklist v4</w:t>
      <w:tab/>
      <w:tab/>
      <w:t>AC 8/06/2017</w:t>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w:cs=""/>
        <w:sz w:val="22"/>
        <w:szCs w:val="22"/>
        <w:lang w:val="en-NZ" w:eastAsia="en-US" w:bidi="ar-SA"/>
      </w:rPr>
    </w:rPrDefault>
    <w:pPrDefault>
      <w:pPr>
        <w:spacing w:lineRule="auto" w:line="256"/>
      </w:pPr>
    </w:pPrDefault>
  </w:docDefaults>
  <w:latentStyles w:count="374"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6" w:before="0" w:after="160"/>
      <w:jc w:val="left"/>
    </w:pPr>
    <w:rPr>
      <w:rFonts w:ascii="Calibri" w:hAnsi="Calibri" w:eastAsia="WenQuanYi Zen Hei" w:cs=""/>
      <w:color w:val="auto"/>
      <w:sz w:val="22"/>
      <w:szCs w:val="22"/>
      <w:lang w:val="en-NZ" w:eastAsia="en-US" w:bidi="ar-SA"/>
    </w:rPr>
  </w:style>
  <w:style w:type="paragraph" w:styleId="Heading1">
    <w:name w:val="Heading 1"/>
    <w:uiPriority w:val="9"/>
    <w:qFormat/>
    <w:link w:val="Heading1Char"/>
    <w:rsid w:val="00607917"/>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607917"/>
    <w:basedOn w:val="DefaultParagraphFont"/>
    <w:rPr>
      <w:rFonts w:ascii="Calibri Light" w:hAnsi="Calibri Light" w:cs=""/>
      <w:color w:val="2E74B5"/>
      <w:sz w:val="32"/>
      <w:szCs w:val="32"/>
    </w:rPr>
  </w:style>
  <w:style w:type="character" w:styleId="HeaderChar" w:customStyle="1">
    <w:name w:val="Header Char"/>
    <w:uiPriority w:val="99"/>
    <w:link w:val="Header"/>
    <w:rsid w:val="009044e7"/>
    <w:basedOn w:val="DefaultParagraphFont"/>
    <w:rPr/>
  </w:style>
  <w:style w:type="character" w:styleId="FooterChar" w:customStyle="1">
    <w:name w:val="Footer Char"/>
    <w:uiPriority w:val="99"/>
    <w:link w:val="Footer"/>
    <w:rsid w:val="009044e7"/>
    <w:basedOn w:val="DefaultParagraphFont"/>
    <w:rPr/>
  </w:style>
  <w:style w:type="paragraph" w:styleId="Heading">
    <w:name w:val="Heading"/>
    <w:basedOn w:val="Normal"/>
    <w:next w:val="TextBody"/>
    <w:pPr>
      <w:keepNext/>
      <w:spacing w:before="240" w:after="120"/>
    </w:pPr>
    <w:rPr>
      <w:rFonts w:ascii="Liberation Sans" w:hAnsi="Liberation Sans" w:eastAsia="WenQuanYi Zen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9044e7"/>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9044e7"/>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607917"/>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2015-05-17T02:17:00Z</dcterms:created>
  <dc:creator>Andrew Chen</dc:creator>
  <dc:language>en-NZ</dc:language>
  <cp:lastModifiedBy>Andrew Chen</cp:lastModifiedBy>
  <cp:lastPrinted>2017-06-06T03:20:00Z</cp:lastPrinted>
  <dcterms:modified xsi:type="dcterms:W3CDTF">2017-06-08T07:51:00Z</dcterms:modified>
  <cp:revision>128</cp:revision>
</cp:coreProperties>
</file>