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</w:pPr>
      <w:r>
        <w:rPr>
          <w:b/>
          <w:sz w:val="28"/>
        </w:rPr>
        <w:t>Supporting Document — ITK-SNAP: Human-in-the-Loop AI Image Segmentation</w:t>
      </w:r>
    </w:p>
    <w:p>
      <w:pPr>
        <w:spacing w:before="160" w:after="60"/>
      </w:pPr>
      <w:r>
        <w:rPr>
          <w:b/>
          <w:color w:val="C0502B"/>
          <w:sz w:val="24"/>
        </w:rPr>
        <w:t>1. Principal Investigator biography</w:t>
      </w:r>
    </w:p>
    <w:p>
      <w:pPr>
        <w:spacing w:after="60"/>
      </w:pPr>
      <w:r>
        <w:rPr>
          <w:b/>
        </w:rPr>
        <w:t>Paul A. Yushkevich, PhD — Principal Investigator.</w:t>
      </w:r>
      <w:r>
        <w:t xml:space="preserve"> Professor of Radiology at the University of Pennsylvania (Perelman School of Medicine), in the Penn Image Computing and Science Laboratory (PICSL), and Co-Leader of the Neuroimaging Core of the Penn Alzheimer's Disease Core Center; PhD in Computer Science, University of North Carolina at Chapel Hill (2003). He is the creator and lead developer of ITK-SNAP and has led its development for ~20 years, funded by two NIH R01 grants and a Chan Zuckerberg Initiative EOSS award. His NIH-funded research develops statistical-shape and biomedical image-analysis methods for Alzheimer's- disease imaging biomarkers (including hippocampal-subfield segmentation and morphometry) and machine-learning methods that improve general-purpose segmentation; his teams have won multiple international segmentation challenges (MICCAI 2012 and 2013), and he maintains a family of widely used open-source imaging tools (ITK-SNAP, Convert3D, GreedyReg, ASHS).</w:t>
      </w:r>
    </w:p>
    <w:p>
      <w:pPr>
        <w:spacing w:before="160" w:after="60"/>
      </w:pPr>
      <w:r>
        <w:rPr>
          <w:b/>
          <w:color w:val="C0502B"/>
          <w:sz w:val="24"/>
        </w:rPr>
        <w:t>2. Project maturity, adoption, and ecosystem role</w:t>
      </w:r>
    </w:p>
    <w:p>
      <w:pPr>
        <w:spacing w:after="60"/>
      </w:pPr>
      <w:r>
        <w:t xml:space="preserve">ITK-SNAP is among the most established and most-cited tools for 3D/4D biomedical image segmentation, and — important for this call — its adoption is still </w:t>
      </w:r>
      <w:r>
        <w:rPr>
          <w:b/>
        </w:rPr>
        <w:t>growing</w:t>
      </w:r>
      <w:r>
        <w:t>, not merely large:</w:t>
      </w:r>
    </w:p>
    <w:p>
      <w:pPr>
        <w:pStyle w:val="ListBullet"/>
        <w:spacing w:after="60"/>
      </w:pPr>
      <w:r>
        <w:rPr>
          <w:b/>
        </w:rPr>
        <w:t>Scientific impact &amp; adoption:</w:t>
      </w:r>
      <w:r>
        <w:t xml:space="preserve"> ~20 years of continuous development; </w:t>
      </w:r>
      <w:r>
        <w:rPr>
          <w:b/>
        </w:rPr>
        <w:t>&gt;11,000 citations</w:t>
      </w:r>
      <w:r>
        <w:t xml:space="preserve"> of the methods</w:t>
      </w:r>
    </w:p>
    <w:p>
      <w:pPr>
        <w:spacing w:after="60"/>
      </w:pPr>
      <w:r>
        <w:t xml:space="preserve">paper (incl. </w:t>
      </w:r>
      <w:r>
        <w:rPr>
          <w:i/>
        </w:rPr>
        <w:t>Nature</w:t>
      </w:r>
      <w:r>
        <w:t xml:space="preserve">- and </w:t>
      </w:r>
      <w:r>
        <w:rPr>
          <w:i/>
        </w:rPr>
        <w:t>Science</w:t>
      </w:r>
      <w:r>
        <w:t xml:space="preserve">-family journals); </w:t>
      </w:r>
      <w:r>
        <w:rPr>
          <w:b/>
        </w:rPr>
        <w:t>&gt;1.1 million total downloads</w:t>
      </w:r>
      <w:r>
        <w:t xml:space="preserve">, with </w:t>
      </w:r>
      <w:r>
        <w:rPr>
          <w:b/>
        </w:rPr>
        <w:t>monthly downloads roughly doubling since 2020, to &gt;12,000/month</w:t>
      </w:r>
      <w:r>
        <w:t xml:space="preserve">. As of 2025, update analytics indicated </w:t>
      </w:r>
      <w:r>
        <w:rPr>
          <w:b/>
        </w:rPr>
        <w:t>~5,000 weekly active installations, spanning top NIH-funded US universities.</w:t>
      </w:r>
    </w:p>
    <w:p>
      <w:pPr>
        <w:pStyle w:val="ListBullet"/>
        <w:spacing w:after="60"/>
      </w:pPr>
      <w:r>
        <w:rPr>
          <w:b/>
        </w:rPr>
        <w:t>Recent growth &amp; reach (the criterion reviewers weigh explicitly):</w:t>
      </w:r>
      <w:r>
        <w:t xml:space="preserve"> annual downloads and citations have</w:t>
      </w:r>
    </w:p>
    <w:p>
      <w:pPr>
        <w:spacing w:after="60"/>
      </w:pPr>
      <w:r>
        <w:t xml:space="preserve">climbed steadily year over year (2013–2025 SourceForge/Scopus series on file). More than </w:t>
      </w:r>
      <w:r>
        <w:rPr>
          <w:b/>
        </w:rPr>
        <w:t>300 citations appear in top-tier journals</w:t>
      </w:r>
      <w:r>
        <w:t xml:space="preserve"> (CiteScore ≥ 20), including </w:t>
      </w:r>
      <w:r>
        <w:rPr>
          <w:i/>
        </w:rPr>
        <w:t>Nature</w:t>
      </w:r>
      <w:r>
        <w:t xml:space="preserve">, </w:t>
      </w:r>
      <w:r>
        <w:rPr>
          <w:i/>
        </w:rPr>
        <w:t>Cell</w:t>
      </w:r>
      <w:r>
        <w:t xml:space="preserve">, </w:t>
      </w:r>
      <w:r>
        <w:rPr>
          <w:i/>
        </w:rPr>
        <w:t>Lancet</w:t>
      </w:r>
      <w:r>
        <w:t xml:space="preserve">, </w:t>
      </w:r>
      <w:r>
        <w:rPr>
          <w:i/>
        </w:rPr>
        <w:t>Nature Medicine</w:t>
      </w:r>
      <w:r>
        <w:t xml:space="preserve">, </w:t>
      </w:r>
      <w:r>
        <w:rPr>
          <w:i/>
        </w:rPr>
        <w:t>Science Translational Medicine</w:t>
      </w:r>
      <w:r>
        <w:t xml:space="preserve">, and </w:t>
      </w:r>
      <w:r>
        <w:rPr>
          <w:i/>
        </w:rPr>
        <w:t>Neuron</w:t>
      </w:r>
      <w:r>
        <w:t>. ITK-SNAP is cited across Alzheimer's disease and dementia, stroke, epilepsy, neuro-oncology, thoracic and pancreatic oncology, cardiology, pulmonology, nephrology, psychiatry, neurodevelopment, and systems neuroscience — evidence of broad, cross-domain use in the life sciences.</w:t>
      </w:r>
    </w:p>
    <w:p>
      <w:pPr>
        <w:pStyle w:val="ListBullet"/>
        <w:spacing w:after="60"/>
      </w:pPr>
      <w:r>
        <w:rPr>
          <w:b/>
        </w:rPr>
        <w:t>Sustained, open development:</w:t>
      </w:r>
      <w:r>
        <w:t xml:space="preserve"> </w:t>
      </w:r>
      <w:r>
        <w:rPr>
          <w:b/>
        </w:rPr>
        <w:t>2,284 non-merge commits</w:t>
      </w:r>
      <w:r>
        <w:t xml:space="preserve"> from </w:t>
      </w:r>
      <w:r>
        <w:rPr>
          <w:b/>
        </w:rPr>
        <w:t>~24 individual developers</w:t>
      </w:r>
      <w:r>
        <w:t xml:space="preserve"> over the</w:t>
      </w:r>
    </w:p>
    <w:p>
      <w:pPr>
        <w:spacing w:after="60"/>
      </w:pPr>
      <w:r>
        <w:t xml:space="preserve">project's lifetime — including contributors from </w:t>
      </w:r>
      <w:r>
        <w:rPr>
          <w:b/>
        </w:rPr>
        <w:t>Kitware/ITK</w:t>
      </w:r>
      <w:r>
        <w:t xml:space="preserve"> (Dženan Zukić, Matt McCormick, Jared Vicory) and </w:t>
      </w:r>
      <w:r>
        <w:rPr>
          <w:b/>
        </w:rPr>
        <w:t>ANTs</w:t>
      </w:r>
      <w:r>
        <w:t xml:space="preserve"> (Nicholas Tustison) — with active development continuing through the current 4.6.0-alpha series and a public roadmap (GitHub Milestones 4.8 / 4.10).</w:t>
      </w:r>
    </w:p>
    <w:p>
      <w:pPr>
        <w:pStyle w:val="ListBullet"/>
        <w:spacing w:after="60"/>
      </w:pPr>
      <w:r>
        <w:rPr>
          <w:b/>
        </w:rPr>
        <w:t>Ecosystem role:</w:t>
      </w:r>
      <w:r>
        <w:t xml:space="preserve"> built on the ITK/VTK/Qt stack; nnInteractive (CVPR 2025 interactive-segmentation</w:t>
      </w:r>
    </w:p>
    <w:p>
      <w:pPr>
        <w:spacing w:after="60"/>
      </w:pPr>
      <w:r>
        <w:t>challenge winner) is now integrated across napari, MITK, 3D Slicer, and ITK-SNAP, and our itksnap-dls server is ITK-SNAP's path into that shared model ecosystem — positioning ITK-SNAP as the human checkpoint inside agentic, data-intensive pipelines.</w:t>
      </w:r>
    </w:p>
    <w:p>
      <w:pPr>
        <w:spacing w:before="160" w:after="60"/>
      </w:pPr>
      <w:r>
        <w:rPr>
          <w:b/>
          <w:color w:val="C0502B"/>
          <w:sz w:val="24"/>
        </w:rPr>
        <w:t>3. Technical approach and feasibility</w:t>
      </w:r>
    </w:p>
    <w:p>
      <w:pPr>
        <w:spacing w:after="60"/>
      </w:pPr>
      <w:r>
        <w:t xml:space="preserve">The effort </w:t>
      </w:r>
      <w:r>
        <w:rPr>
          <w:b/>
        </w:rPr>
        <w:t>extends and connects mature, already-shipping components rather than building from scratch</w:t>
      </w:r>
      <w:r>
        <w:t xml:space="preserve">: it composes ITK-SNAP, itksnap-dls, greedy/Convert3D, and SegFlow4D behind small, well-scoped new interfaces, validated at each step by ITK-SNAP's existing automated test harness. A key feasibility fact is that </w:t>
      </w:r>
      <w:r>
        <w:rPr>
          <w:b/>
        </w:rPr>
        <w:t>both technical substrates already exist</w:t>
      </w:r>
      <w:r>
        <w:t>:</w:t>
      </w:r>
    </w:p>
    <w:p>
      <w:pPr>
        <w:pStyle w:val="ListBullet"/>
        <w:spacing w:after="60"/>
      </w:pPr>
      <w:r>
        <w:rPr>
          <w:b/>
        </w:rPr>
        <w:t>A toolkit-independent, GUI-free logic tier.</w:t>
      </w:r>
      <w:r>
        <w:t xml:space="preserve"> ITK-SNAP's core logic already builds free of GUI</w:t>
      </w:r>
    </w:p>
    <w:p>
      <w:pPr>
        <w:spacing w:after="60"/>
      </w:pPr>
      <w:r>
        <w:t xml:space="preserve">dependencies — proven today by the shipped headless </w:t>
      </w:r>
      <w:r>
        <w:rPr>
          <w:rFonts w:ascii="Consolas" w:hAnsi="Consolas"/>
          <w:sz w:val="19"/>
        </w:rPr>
        <w:t>itksnap-wt</w:t>
      </w:r>
      <w:r>
        <w:t xml:space="preserve"> binary. This is by design: when ITK-SNAP adopted Qt (2011–2014), the team deliberately separated a toolkit-independent "GUI-model" layer from the thin Qt presentation layer, anticipating a future migration. Exposing that logic as a Python/agent-callable surface (Aim 1) therefore touches one existing layer rather than requiring a rewrite.</w:t>
      </w:r>
    </w:p>
    <w:p>
      <w:pPr>
        <w:pStyle w:val="ListBullet"/>
        <w:spacing w:after="60"/>
      </w:pPr>
      <w:r>
        <w:rPr>
          <w:b/>
        </w:rPr>
        <w:t>A working remote-data transport layer.</w:t>
      </w:r>
      <w:r>
        <w:t xml:space="preserve"> ITK-SNAP already loads images and workspaces over Flywheel,</w:t>
      </w:r>
    </w:p>
    <w:p>
      <w:pPr>
        <w:spacing w:after="60"/>
      </w:pPr>
      <w:r>
        <w:t>SSH, and HTTP, with caching; Aim 2 adds a browsable explorer UI and agent API over that transport, plus DICOM/BIDS-aware organization.</w:t>
      </w:r>
    </w:p>
    <w:p>
      <w:pPr>
        <w:spacing w:after="60"/>
      </w:pPr>
      <w:r>
        <w:t>The genuinely new work is therefore concentrated and independently testable — the Python binding, the agent-callable review/command surface, the provenance/audit record, the MCP server, and the explorer UI — with a single larger new subsystem (DICOM-SEG interchange) isolated as a discrete Year-2 deliverable and validated by round-trip against an external tool (e.g. 3D Slicer). The model-improvement loop (milestone 1.3) relies only on mature techniques — supervised fine-tuning on expert-corrected labels and uncertainty- based case routing (active learning) — so it depends on no unproven advance; the novel element is the capture plumbing, which is squarely in the team's competency.</w:t>
      </w:r>
    </w:p>
    <w:p>
      <w:pPr>
        <w:spacing w:after="60"/>
      </w:pPr>
      <w:r>
        <w:rPr>
          <w:b/>
        </w:rPr>
        <w:t>Track record of delivering on this roadmap.</w:t>
      </w:r>
      <w:r>
        <w:t xml:space="preserve"> Prior grants produced major, shipped features on schedule: NIH R01 EB014346 (2011–2015) funded a complete GUI rewrite and added multi-channel/multi-contrast support, machine-learning-based semi-automatic segmentation, and built-in deformable registration; a CZI EOSS award (2020–2021) added 3D+time (4D) visualization and segmentation, free-form image rotation, and loading of external 3D/4D meshes with associated data such as biomechanical strain maps. ITK-SNAP has also remained active and viable </w:t>
      </w:r>
      <w:r>
        <w:rPr>
          <w:i/>
        </w:rPr>
        <w:t>between</w:t>
      </w:r>
      <w:r>
        <w:t xml:space="preserve"> awards — direct evidence the team can complete a focused two-year effort. As </w:t>
      </w:r>
      <w:r>
        <w:rPr>
          <w:b/>
        </w:rPr>
        <w:t>preliminary evidence that expert-in-the-loop foundation-model segmentation works in practice</w:t>
      </w:r>
      <w:r>
        <w:t xml:space="preserve">, ITK-SNAP's nnInteractive integration reached a Dice overlap of </w:t>
      </w:r>
      <w:r>
        <w:rPr>
          <w:b/>
        </w:rPr>
        <w:t>0.884 after only four expert edits</w:t>
      </w:r>
      <w:r>
        <w:t xml:space="preserve"> on a 3D fetal-ultrasound placenta case — a domain absent from nnInteractive's training data — demonstrating out-of-distribution generalization under expert guidance (ref 3). Finally, the team already uses AI coding assistants day to day and estimates a </w:t>
      </w:r>
      <w:r>
        <w:rPr>
          <w:b/>
        </w:rPr>
        <w:t>50–60% acceleration</w:t>
      </w:r>
      <w:r>
        <w:t xml:space="preserve"> on routine and mid-level development tasks — well matched to this extend-and-connect effort.</w:t>
      </w:r>
    </w:p>
    <w:p>
      <w:pPr>
        <w:spacing w:before="160" w:after="60"/>
      </w:pPr>
      <w:r>
        <w:rPr>
          <w:b/>
          <w:color w:val="C0502B"/>
          <w:sz w:val="24"/>
        </w:rPr>
        <w:t>4. Team, governance, and sustainability</w:t>
      </w:r>
    </w:p>
    <w:p>
      <w:pPr>
        <w:spacing w:after="60"/>
      </w:pPr>
      <w:r>
        <w:rPr>
          <w:b/>
        </w:rPr>
        <w:t>Governance.</w:t>
      </w:r>
      <w:r>
        <w:t xml:space="preserve"> ITK-SNAP is developed fully in the open on GitHub under the GPL-3.0 license — source, issues, and full history are public, and anyone can contribute through pull requests and issues. In practice the project follows a lead-maintainer model: the PI, as long-time maintainer, reviews and merges contributions and manages releases. There is no formal written governance document yet, and how best to broaden it is under active discussion. Reducing reliance on a single maintainer and moving toward a more explicit, shared governance structure is an explicit aim of this proposal (Goal 3); options being considered include a written maintainers policy, a code of conduct, and a succession plan, informed by models such as the Insight Software Consortium.</w:t>
      </w:r>
    </w:p>
    <w:p>
      <w:pPr>
        <w:spacing w:after="60"/>
      </w:pPr>
      <w:r>
        <w:rPr>
          <w:b/>
        </w:rPr>
        <w:t>Contributor base and growth.</w:t>
      </w:r>
      <w:r>
        <w:t xml:space="preserve"> Development is currently concentrated in a small core team (the PI and lead developer account for the large majority of commits), within a real ~24-developer lifetime base that includes ITK/ANTs-ecosystem collaborators. </w:t>
      </w:r>
      <w:r>
        <w:rPr>
          <w:b/>
        </w:rPr>
        <w:t>Broadening the active contributor and maintainer base is an explicit objective (Goal 3):</w:t>
      </w:r>
      <w:r>
        <w:t xml:space="preserve"> developer documentation for the new interfaces plus a hybrid training + contributor hackathon are designed to lower the barrier to entry, with concrete targets of </w:t>
      </w:r>
      <w:r>
        <w:rPr>
          <w:b/>
        </w:rPr>
        <w:t>≥5 new external contributors or merged community pull requests</w:t>
      </w:r>
      <w:r>
        <w:t xml:space="preserve">, </w:t>
      </w:r>
      <w:r>
        <w:rPr>
          <w:b/>
        </w:rPr>
        <w:t>≥5 video tutorials (10K+ cumulative views)</w:t>
      </w:r>
      <w:r>
        <w:t xml:space="preserve">, and a </w:t>
      </w:r>
      <w:r>
        <w:rPr>
          <w:b/>
        </w:rPr>
        <w:t>hybrid event with ≥20 participants</w:t>
      </w:r>
      <w:r>
        <w:t>.</w:t>
      </w:r>
    </w:p>
    <w:p>
      <w:pPr>
        <w:spacing w:after="60"/>
      </w:pPr>
      <w:r>
        <w:rPr>
          <w:b/>
        </w:rPr>
        <w:t>Sustainability beyond the grant.</w:t>
      </w:r>
      <w:r>
        <w:t xml:space="preserve"> The work directly addresses the project's three principal long-term risks: reliance on a single-vendor GUI toolkit (mitigated by moving toward a scriptable, less toolkit-bound surface), the migration of imaging data into remote/cloud archives (Goal 2), and over-reliance on a small core of developers (Goal 3 and the governance broadening above). The pip-installable API and MCP server are lightweight, auto-updatable artifacts published to PyPI, with transparent download metrics; the GUI continues on ITK-SNAP's established signed-installer channels; and the work builds on substantial existing foundations — the lead maintainer's established role in the project, mature CI/test infrastructure, and the codebases it extends. Together with the contributor-growth activities, this maintains the project's trajectory after the funding period.</w:t>
      </w:r>
    </w:p>
    <w:p>
      <w:pPr>
        <w:spacing w:before="160" w:after="60"/>
      </w:pPr>
      <w:r>
        <w:rPr>
          <w:b/>
          <w:color w:val="C0502B"/>
          <w:sz w:val="24"/>
        </w:rPr>
        <w:t>5. Figures</w:t>
      </w:r>
    </w:p>
    <w:p>
      <w:pPr>
        <w:keepNext/>
        <w:spacing w:after="60"/>
      </w:pPr>
      <w:r>
        <w:rPr>
          <w:b/>
        </w:rPr>
        <w:t>Fig. 1 — ITK-SNAP across imaging modalities.</w:t>
      </w:r>
      <w:r>
        <w:t xml:space="preserve"> Three representative sessions: multi-modal visualization (brain MRI with diffusion-derived directional and scalar maps), semi-automatic segmentation (lung CT with 3D rendering), and interactive registration. One familiar, easy-to-learn interface serves many imaging domains — the generalist design behind ITK-SNAP's broad, cross-domain adoption.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1580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i-screensh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8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/>
      </w:pPr>
      <w:r>
        <w:rPr>
          <w:b/>
        </w:rPr>
        <w:t>Fig. 2 — Interactive, AI-assisted segmentation is already in ITK-SNAP.</w:t>
      </w:r>
      <w:r>
        <w:t xml:space="preserve"> Positive (red) and negative (green) scribble prompts drive a served foundation model (nnInteractive) to a 3D placenta segmentation in fetal ultrasound; after four expert edits the result reaches Dice 0.884 against the manual reference — even though fetal ultrasound was absent from the model's training data. This model-proposes / expert-corrects loop is precisely the primitive the proposal exposes to external agents.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940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i-placen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94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/>
      </w:pPr>
      <w:r>
        <w:rPr>
          <w:b/>
        </w:rPr>
        <w:t>Fig. 3 — Human-in-the-loop workflow.</w:t>
      </w:r>
      <w:r>
        <w:t xml:space="preserve"> The model proposes (itksnap-dls) → the agent's confidence gate flags an uncertain case → control hands to a live ITK-SNAP session where the expert corrects on screen → a structured, audited result returns to the agent. The proposal's core differentiator.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15206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2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/>
      </w:pPr>
      <w:r>
        <w:rPr>
          <w:b/>
        </w:rPr>
        <w:t>Fig. 4 — System architecture.</w:t>
      </w:r>
      <w:r>
        <w:t xml:space="preserve"> The net-new agent/MCP surface over ITK-SNAP's existing Qt-free core, the itksnap-dls model plane, and the remote/cloud data plane; ★ marks net-new capabilities added within existing components (audit record, DICOM-SEG, explorer). Grounds the feasibility claim — the work extends already-shipping components rather than building from scratch.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994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9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b/>
          <w:color w:val="C0502B"/>
          <w:sz w:val="24"/>
        </w:rPr>
        <w:t>6. References</w:t>
      </w:r>
    </w:p>
    <w:p>
      <w:pPr>
        <w:spacing w:after="60"/>
        <w:ind w:left="403" w:hanging="403"/>
      </w:pPr>
      <w:r>
        <w:t xml:space="preserve">1. Yushkevich PA, Piven J, Hazlett HC, Smith RG, Ho S, Gee JC, Gerig G. </w:t>
      </w:r>
      <w:r>
        <w:rPr>
          <w:i/>
        </w:rPr>
        <w:t>User-guided 3D active contour segmentation of anatomical structures: significantly improved efficiency and reliability.</w:t>
      </w:r>
      <w:r>
        <w:t xml:space="preserve"> NeuroImage. 2006;31(3):1116–1128. — ITK-SNAP methods paper (canonical).</w:t>
      </w:r>
    </w:p>
    <w:p>
      <w:pPr>
        <w:spacing w:after="60"/>
        <w:ind w:left="403" w:hanging="403"/>
      </w:pPr>
      <w:r>
        <w:t xml:space="preserve">2. Hao J, Yushkevich PA, Dong NJ, Amin S, Guo Z, Yushkevich N, Aggarwal A, Pouch AM. </w:t>
      </w:r>
      <w:r>
        <w:rPr>
          <w:i/>
        </w:rPr>
        <w:t>Streamlining 4D Cardiac Image Workflows: Open-Source Tools for Segmentation, Registration, and Visualization.</w:t>
      </w:r>
      <w:r>
        <w:t xml:space="preserve"> Functional Imaging and Modeling of the Heart (FIMH) 2025. — recent ITK-SNAP 4 paper; source of the cardiac use case.</w:t>
      </w:r>
    </w:p>
    <w:p>
      <w:pPr>
        <w:spacing w:after="60"/>
        <w:ind w:left="403" w:hanging="403"/>
      </w:pPr>
      <w:r>
        <w:t xml:space="preserve">3. Isensee F, Rokuss M, Krämer L, Dinkelacker S, Ravindran A, Stritzke F, et al. </w:t>
      </w:r>
      <w:r>
        <w:rPr>
          <w:i/>
        </w:rPr>
        <w:t>nnInteractive: Redefining 3D Promptable Segmentation.</w:t>
      </w:r>
      <w:r>
        <w:t xml:space="preserve"> arXiv:2503.08373. 2025. — interactive-segmentation foundation model integrated in ITK-SNAP via itksnap-dls; CVPR 2025 challenge winner.</w:t>
      </w:r>
    </w:p>
    <w:p>
      <w:pPr>
        <w:spacing w:after="60"/>
        <w:ind w:left="403" w:hanging="403"/>
      </w:pPr>
      <w:r>
        <w:t xml:space="preserve">4. Diaz-Pinto A, Alle S, Ihsani A, Asad M, Nath V, Pérez-García F, et al. </w:t>
      </w:r>
      <w:r>
        <w:rPr>
          <w:i/>
        </w:rPr>
        <w:t>MONAI Label: A framework for AI-assisted interactive labeling of 3D medical images.</w:t>
      </w:r>
      <w:r>
        <w:t xml:space="preserve"> Medical Image Analysis. 2024;95:103207. doi:10.1016/j.media.2024.103207.</w:t>
      </w:r>
    </w:p>
    <w:p>
      <w:pPr>
        <w:spacing w:after="60"/>
        <w:ind w:left="403" w:hanging="403"/>
      </w:pPr>
      <w:r>
        <w:t xml:space="preserve">5. Wasserthal J, et al. </w:t>
      </w:r>
      <w:r>
        <w:rPr>
          <w:i/>
        </w:rPr>
        <w:t>TotalSegmentator: robust segmentation of anatomical structures in CT images.</w:t>
      </w:r>
      <w:r>
        <w:t xml:space="preserve"> Radiology: Artificial Intelligence. 2023;5(5):e230024.</w:t>
      </w:r>
    </w:p>
    <w:p>
      <w:pPr>
        <w:spacing w:after="60"/>
        <w:ind w:left="403" w:hanging="403"/>
      </w:pPr>
      <w:r>
        <w:t xml:space="preserve">6. Antonelli M, et al. </w:t>
      </w:r>
      <w:r>
        <w:rPr>
          <w:i/>
        </w:rPr>
        <w:t>The Medical Segmentation Decathlon.</w:t>
      </w:r>
      <w:r>
        <w:t xml:space="preserve"> Nature Communications. 2022;13:4128. — public hippocampus benchmark (Task 04).</w:t>
      </w:r>
    </w:p>
    <w:p>
      <w:pPr>
        <w:spacing w:after="60"/>
        <w:ind w:left="403" w:hanging="403"/>
      </w:pPr>
      <w:r>
        <w:t xml:space="preserve">7. Zhuang X, et al. </w:t>
      </w:r>
      <w:r>
        <w:rPr>
          <w:i/>
        </w:rPr>
        <w:t>Evaluation of algorithms for Multi-Modality Whole Heart Segmentation: an open-access grand challenge (MM-WHS).</w:t>
      </w:r>
      <w:r>
        <w:t xml:space="preserve"> Medical Image Analysis. 2019;58:101537. — public cardiac-CT benchmark.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