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595959"/>
          <w:sz w:val="18"/>
          <w:szCs w:val="18"/>
        </w:rPr>
        <w:t xml:space="preserve">SIIM-CAIMI26 · AI Builder Showcase submission (draft for review)</w:t>
      </w:r>
    </w:p>
    <w:p>
      <w:pPr>
        <w:pBdr>
          <w:bottom w:val="single" w:color="BFBFBF" w:sz="6" w:space="6"/>
        </w:pBdr>
        <w:spacing w:after="200"/>
      </w:pPr>
    </w:p>
    <w:p>
      <w:pPr>
        <w:spacing w:after="140"/>
      </w:pPr>
      <w:r>
        <w:rPr>
          <w:b/>
          <w:bCs/>
          <w:sz w:val="30"/>
          <w:szCs w:val="30"/>
        </w:rPr>
        <w:t xml:space="preserve">ITK-SNAP as an Agent-Callable Tool: Expert Human Correction as a Resumable, Audited Pipeline Step</w:t>
      </w:r>
    </w:p>
    <w:p>
      <w:pPr>
        <w:spacing w:after="60"/>
      </w:pPr>
      <w:r>
        <w:rPr>
          <w:color w:val="595959"/>
          <w:sz w:val="18"/>
          <w:szCs w:val="18"/>
        </w:rPr>
        <w:t xml:space="preserve">Presenting author: </w:t>
      </w:r>
      <w:r>
        <w:rPr>
          <w:b/>
          <w:bCs/>
          <w:color w:val="595959"/>
          <w:sz w:val="18"/>
          <w:szCs w:val="18"/>
        </w:rPr>
        <w:t xml:space="preserve">Jilei Hao</w:t>
      </w:r>
      <w:r>
        <w:rPr>
          <w:color w:val="595959"/>
          <w:sz w:val="18"/>
          <w:szCs w:val="18"/>
        </w:rPr>
        <w:t xml:space="preserve">   ·   Co-authors / affiliation: </w:t>
      </w:r>
      <w:r>
        <w:rPr>
          <w:b/>
          <w:bCs/>
          <w:color w:val="C00000"/>
          <w:sz w:val="18"/>
          <w:szCs w:val="18"/>
        </w:rPr>
        <w:t xml:space="preserve">TO CONFIRM</w:t>
      </w:r>
    </w:p>
    <w:p>
      <w:pPr>
        <w:spacing w:after="60"/>
      </w:pPr>
      <w:r>
        <w:rPr>
          <w:color w:val="595959"/>
          <w:sz w:val="18"/>
          <w:szCs w:val="18"/>
        </w:rPr>
        <w:t xml:space="preserve">Body word count: </w:t>
      </w:r>
      <w:r>
        <w:rPr>
          <w:b/>
          <w:bCs/>
          <w:color w:val="595959"/>
          <w:sz w:val="18"/>
          <w:szCs w:val="18"/>
        </w:rPr>
        <w:t>497 / 500</w:t>
      </w:r>
      <w:r>
        <w:rPr>
          <w:i/>
          <w:iCs/>
          <w:color w:val="595959"/>
          <w:sz w:val="18"/>
          <w:szCs w:val="18"/>
        </w:rPr>
        <w:t xml:space="preserve">  (title, section headings and keywords are excluded per submission rules §4)</w:t>
      </w:r>
    </w:p>
    <w:p>
      <w:pPr>
        <w:spacing w:after="60"/>
      </w:pPr>
      <w:r>
        <w:rPr>
          <w:color w:val="595959"/>
          <w:sz w:val="18"/>
          <w:szCs w:val="18"/>
        </w:rPr>
        <w:t xml:space="preserve">Deadline: </w:t>
      </w:r>
      <w:r>
        <w:rPr>
          <w:b/>
          <w:bCs/>
          <w:color w:val="595959"/>
          <w:sz w:val="18"/>
          <w:szCs w:val="18"/>
        </w:rPr>
        <w:t xml:space="preserve">July 24, 2026, 11:59 PM PST</w:t>
      </w:r>
      <w:r>
        <w:rPr>
          <w:color w:val="595959"/>
          <w:sz w:val="18"/>
          <w:szCs w:val="18"/>
        </w:rPr>
        <w:t xml:space="preserve">   ·   Portal EventKey: </w:t>
      </w:r>
      <w:r>
        <w:rPr>
          <w:rFonts w:ascii="Consolas" w:cs="Consolas" w:eastAsia="Consolas" w:hAnsi="Consolas"/>
          <w:color w:val="595959"/>
          <w:sz w:val="18"/>
          <w:szCs w:val="18"/>
        </w:rPr>
        <w:t xml:space="preserve">QRFBVSUS</w:t>
      </w:r>
      <w:r>
        <w:rPr>
          <w:i/>
          <w:iCs/>
          <w:color w:val="595959"/>
          <w:sz w:val="18"/>
          <w:szCs w:val="18"/>
        </w:rPr>
        <w:t xml:space="preserve">   ·   Not blind: institution / tool names allowed.</w:t>
      </w:r>
    </w:p>
    <w:p>
      <w:pPr>
        <w:pBdr>
          <w:bottom w:val="single" w:color="BFBFBF" w:sz="6" w:space="6"/>
        </w:pBdr>
        <w:spacing w:after="240"/>
      </w:pP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Keywords</w:t>
      </w:r>
    </w:p>
    <w:p>
      <w:pPr>
        <w:spacing w:after="160" w:line="276"/>
      </w:pPr>
      <w:r>
        <w:rPr>
          <w:sz w:val="22"/>
          <w:szCs w:val="22"/>
        </w:rPr>
        <w:t xml:space="preserve">human-in-the-loop; interactive segmentation; agentic AI; Model Context Protocol; provenance; foundation models; TotalSegmentator; open-source toolkits</w:t>
      </w: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Problem Statement</w:t>
      </w:r>
      <w:r>
        <w:tab/>
      </w:r>
      <w:r>
        <w:rPr>
          <w:i/>
          <w:iCs/>
          <w:color w:val="595959"/>
          <w:sz w:val="16"/>
          <w:szCs w:val="16"/>
        </w:rPr>
        <w:t xml:space="preserve">87 words</w:t>
      </w:r>
    </w:p>
    <w:p>
      <w:pPr>
        <w:spacing w:after="160" w:line="276"/>
      </w:pPr>
      <w:r>
        <w:rPr>
          <w:sz w:val="22"/>
          <w:szCs w:val="22"/>
        </w:rPr>
        <w:t xml:space="preserve">Automatic segmentation models are increasingly capable but still imperfect, so clinical and research pipelines depend on expert verification and correction. Yet that expert judgment is trapped inside interactive GUIs: a person opens an image, paints a fix, and saves a file — the reasoning and the exact change evaporate. An automated pipeline or AI agent has no clean way to </w:t>
      </w:r>
      <w:r>
        <w:rPr>
          <w:i/>
          <w:iCs/>
          <w:sz w:val="22"/>
          <w:szCs w:val="22"/>
        </w:rPr>
        <w:t xml:space="preserve">call</w:t>
      </w:r>
      <w:r>
        <w:rPr>
          <w:sz w:val="22"/>
          <w:szCs w:val="22"/>
        </w:rPr>
        <w:t xml:space="preserve"> a human expert as a first-class pipeline step and receive a machine-consumable answer back. The human-in-the-loop is real in practice but missing from our software interfaces.</w:t>
      </w: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Approach / What You Built</w:t>
      </w:r>
      <w:r>
        <w:tab/>
      </w:r>
      <w:r>
        <w:rPr>
          <w:i/>
          <w:iCs/>
          <w:color w:val="595959"/>
          <w:sz w:val="16"/>
          <w:szCs w:val="16"/>
        </w:rPr>
        <w:t>180 words</w:t>
      </w:r>
    </w:p>
    <w:p>
      <w:pPr>
        <w:spacing w:after="160" w:line="276"/>
      </w:pPr>
      <w:r>
        <w:rPr>
          <w:sz w:val="22"/>
          <w:szCs w:val="22"/>
        </w:rPr>
        <w:t>We exposed ITK-SNAP — a 20-year, open-source segmentation application (&gt;1M downloads) — as an agent-callable tool via the Model Context Protocol (MCP). An external agent runs automatic segmentation (TotalSegmentator, served by our open itksnap-dls model server) and applies the proposal into a durable ITK-SNAP workspace — headlessly, with no GUI running. When a case needs review, the agent opens that same workspace in a live ITK-SNAP where the expert corrects it. Every edit — agent or human — returns not an opaque file but a structured audit record (Table 1). Two design choices make this practical. First, provenance is captured at a single commit point as one schema — whether computed headlessly from the before/after label volumes or reconstructed in the live GUI from ITK-SNAP’s undo delta (old = new − delta) — so none of the eleven editing tools changed. Second, because the workspace is the source of truth, the step is resumable: an automated pipeline can prepare a case before any human is involved, and the audit trail persists across sessions.</w:t>
      </w:r>
      <w:r>
        <w:rPr>
          <w:i w:val="0"/>
          <w:iCs/>
          <w:sz w:val="22"/>
          <w:szCs w:val="22"/>
        </w:rPr>
      </w:r>
      <w:r>
        <w:rPr>
          <w:sz w:val="22"/>
          <w:szCs w:val="22"/>
        </w:rPr>
      </w: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Demo or Evidence of Function</w:t>
      </w:r>
      <w:r>
        <w:tab/>
      </w:r>
      <w:r>
        <w:rPr>
          <w:i/>
          <w:iCs/>
          <w:color w:val="595959"/>
          <w:sz w:val="16"/>
          <w:szCs w:val="16"/>
        </w:rPr>
        <w:t>104 words</w:t>
      </w:r>
    </w:p>
    <w:p>
      <w:pPr>
        <w:spacing w:after="160" w:line="276"/>
      </w:pPr>
      <w:r>
        <w:rPr>
          <w:sz w:val="22"/>
          <w:szCs w:val="22"/>
        </w:rPr>
        <w:t xml:space="preserve">GitHub: github.com/jilei-hao/itksnap-mcp (the Python agent glue and a one-command driver) and github.com/jilei-hao/itksnap (the C++ audit engine and command channel); a short video walkthrough. Verified live end-to-end on a GPU: the agent ran TotalSegmentator on a body CT (48 anatomically correct thoracic structures), applied a chosen structure into an ITK-SNAP workspace, and read back the audit record (Table 1). A human then opened that workspace in ITK-SNAP and corrected the proposal with the paintbrush, and the agent received the identical record auto-tagged </w:t>
      </w:r>
      <w:r>
        <w:rPr>
          <w:rFonts w:ascii="Consolas" w:cs="Consolas" w:eastAsia="Consolas" w:hAnsi="Consolas"/>
          <w:sz w:val="20"/>
          <w:szCs w:val="20"/>
        </w:rPr>
        <w:t>actor: human</w:t>
      </w:r>
      <w:r>
        <w:rPr>
          <w:sz w:val="22"/>
          <w:szCs w:val="22"/>
        </w:rPr>
        <w:t xml:space="preserve"> — the agent’s commit consumes the tag, so any edit it did not make is attributed to the person (Figure 1).</w:t>
      </w:r>
      <w:r>
        <w:rPr>
          <w:rFonts w:ascii="Consolas" w:cs="Consolas" w:eastAsia="Consolas" w:hAnsi="Consolas"/>
          <w:sz w:val="20"/>
          <w:szCs w:val="20"/>
        </w:rPr>
      </w:r>
      <w:r>
        <w:rPr>
          <w:sz w:val="22"/>
          <w:szCs w:val="22"/>
        </w:rPr>
      </w: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Clinical or Operational Impact</w:t>
      </w:r>
      <w:r>
        <w:tab/>
      </w:r>
      <w:r>
        <w:rPr>
          <w:i/>
          <w:iCs/>
          <w:color w:val="595959"/>
          <w:sz w:val="16"/>
          <w:szCs w:val="16"/>
        </w:rPr>
        <w:t xml:space="preserve">50 words</w:t>
      </w:r>
    </w:p>
    <w:p>
      <w:pPr>
        <w:spacing w:after="160" w:line="276"/>
      </w:pPr>
      <w:r>
        <w:rPr>
          <w:sz w:val="22"/>
          <w:szCs w:val="22"/>
        </w:rPr>
        <w:t xml:space="preserve">This turns expert review into an orchestrable, resumable pipeline step. Inside a large automated cohort, a human becomes a callable checkpoint invoked only for uncertain cases, and every correction is captured as reusable, attributable provenance — labeled by who made it — that can feed model fine-tuning and quality auditing.</w:t>
      </w: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Current Stage</w:t>
      </w:r>
      <w:r>
        <w:tab/>
      </w:r>
      <w:r>
        <w:rPr>
          <w:i/>
          <w:iCs/>
          <w:color w:val="595959"/>
          <w:sz w:val="16"/>
          <w:szCs w:val="16"/>
        </w:rPr>
        <w:t>46 words</w:t>
      </w:r>
    </w:p>
    <w:p>
      <w:pPr>
        <w:spacing w:after="160" w:line="276"/>
      </w:pPr>
      <w:r>
        <w:rPr>
          <w:sz w:val="22"/>
          <w:szCs w:val="22"/>
        </w:rPr>
        <w:t>Prototype, open-source, not a product. The propose → apply → audit backbone works end-to-end; the correction in the walkthrough was made by a developer, not a clinician, so it exercises the mechanism rather than clinical judgment. Confidence-gated routing and a packaged MCP distribution are in progress.</w:t>
      </w:r>
    </w:p>
    <w:p>
      <w:pPr>
        <w:pStyle w:val="Heading1"/>
        <w:tabs>
          <w:tab w:val="right" w:pos="8640"/>
        </w:tabs>
        <w:spacing w:after="100" w:before="260"/>
      </w:pPr>
      <w:r>
        <w:rPr>
          <w:b/>
          <w:bCs/>
          <w:color w:val="1F3864"/>
          <w:sz w:val="24"/>
          <w:szCs w:val="24"/>
        </w:rPr>
        <w:t xml:space="preserve">What Feedback You're Seeking</w:t>
      </w:r>
      <w:r>
        <w:tab/>
      </w:r>
      <w:r>
        <w:rPr>
          <w:i/>
          <w:iCs/>
          <w:color w:val="595959"/>
          <w:sz w:val="16"/>
          <w:szCs w:val="16"/>
        </w:rPr>
        <w:t xml:space="preserve">37 words</w:t>
      </w:r>
    </w:p>
    <w:p>
      <w:pPr>
        <w:spacing w:after="160" w:line="276"/>
      </w:pPr>
      <w:r>
        <w:rPr>
          <w:sz w:val="22"/>
          <w:szCs w:val="22"/>
        </w:rPr>
        <w:t xml:space="preserve">Which audit-record fields matter most for downstream model fine-tuning and provenance? What confidence signals do you trust to decide auto-accept versus route-to-human? And where would a callable expert-correction step plug into your existing annotation and quality-assurance workflows?</w:t>
      </w:r>
    </w:p>
    <w:p>
      <w:r>
        <w:br w:type="page"/>
      </w:r>
    </w:p>
    <w:p>
      <w:pPr>
        <w:spacing w:after="160"/>
      </w:pPr>
      <w:r>
        <w:rPr>
          <w:b/>
          <w:sz w:val="26"/>
        </w:rPr>
        <w:t>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b/>
          <w:color w:val="333333"/>
          <w:sz w:val="18"/>
        </w:rPr>
        <w:t xml:space="preserve">Figure 1. </w:t>
      </w:r>
      <w:r>
        <w:rPr>
          <w:color w:val="333333"/>
          <w:sz w:val="18"/>
        </w:rPr>
        <w:t>One end-to-end run, workspace-first. The agent creates a durable ITK-SNAP workspace, gets an automatic proposal from the model server, and applies it into the workspace segmentation headlessly — no running ITK-SNAP (steps 0–6). When a case needs review it opens the workspace in a live ITK-SNAP for the expert’s paintbrush correction; every committed edit returns the same structured audit record, tagged agent or human.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810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udit_rec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1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b/>
          <w:color w:val="333333"/>
          <w:sz w:val="18"/>
        </w:rPr>
        <w:t xml:space="preserve">Table 1. </w:t>
      </w:r>
      <w:r>
        <w:rPr>
          <w:color w:val="333333"/>
          <w:sz w:val="18"/>
        </w:rPr>
        <w:t>What comes back: the audit record for one committed edit. Values from the verified end-to-end run (a proposed left upper lung lobe). The same schema is emitted whether the edit is applied headlessly (computed from the before/after label volumes) or corrected in the live GUI (reconstructed from the undo delta); a human correction returns the identical structure tagged actor: human.</w:t>
      </w:r>
    </w:p>
    <w:sectPr>
      <w:footerReference w:type="default" r:id="rId7"/>
      <w:pgSz w:w="12240" w:h="15840" w:orient="portrait"/>
      <w:pgMar w:top="1440" w:right="2016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SIIM-CAIMI26 · AI Builder Showcase · draft for review —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SIIM-CAIMI26 AI Builder Showcase — ITK-SNAP as an Agent-Callable Tool</dc:title>
  <dc:creator>Jilei Hao</dc:creator>
  <dc:description>Review copy of the CAIMI26 AI Builder Showcase abstract</dc:description>
  <cp:lastModifiedBy>Un-named</cp:lastModifiedBy>
  <cp:revision>1</cp:revision>
  <dcterms:created xsi:type="dcterms:W3CDTF">2026-07-23T20:13:41.010Z</dcterms:created>
  <dcterms:modified xsi:type="dcterms:W3CDTF">2026-07-23T20:13:41.011Z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