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aps/>
          <w:color w:val="595959"/>
          <w:sz w:val="18"/>
          <w:szCs w:val="18"/>
        </w:rPr>
        <w:t xml:space="preserve">SIIM-CAIMI26 · AI Builder Showcase submission (draft for review)</w:t>
      </w:r>
    </w:p>
    <w:p>
      <w:pPr>
        <w:pBdr>
          <w:bottom w:val="single" w:color="BFBFBF" w:sz="6" w:space="6"/>
        </w:pBdr>
        <w:spacing w:after="200"/>
      </w:pPr>
    </w:p>
    <w:p>
      <w:pPr>
        <w:spacing w:after="140"/>
      </w:pPr>
      <w:r>
        <w:rPr>
          <w:b/>
          <w:bCs/>
          <w:sz w:val="30"/>
          <w:szCs w:val="30"/>
        </w:rPr>
        <w:t xml:space="preserve">ITK-SNAP as an Agent-Callable Tool: Expert Human Correction as a Resumable, Audited Pipeline Step</w:t>
      </w:r>
    </w:p>
    <w:p>
      <w:pPr>
        <w:spacing w:after="60"/>
      </w:pPr>
      <w:r>
        <w:rPr>
          <w:color w:val="595959"/>
          <w:sz w:val="18"/>
          <w:szCs w:val="18"/>
        </w:rPr>
        <w:t xml:space="preserve">Presenting author: </w:t>
      </w:r>
      <w:r>
        <w:rPr>
          <w:b/>
          <w:bCs/>
          <w:color w:val="595959"/>
          <w:sz w:val="18"/>
          <w:szCs w:val="18"/>
        </w:rPr>
        <w:t xml:space="preserve">Jilei Hao</w:t>
      </w:r>
      <w:r>
        <w:rPr>
          <w:color w:val="595959"/>
          <w:sz w:val="18"/>
          <w:szCs w:val="18"/>
        </w:rPr>
        <w:t xml:space="preserve">   ·   Co-authors / affiliation: </w:t>
      </w:r>
      <w:r>
        <w:rPr>
          <w:b/>
          <w:bCs/>
          <w:color w:val="C00000"/>
          <w:sz w:val="18"/>
          <w:szCs w:val="18"/>
        </w:rPr>
        <w:t xml:space="preserve">TO CONFIRM</w:t>
      </w:r>
    </w:p>
    <w:p>
      <w:pPr>
        <w:spacing w:after="60"/>
      </w:pPr>
      <w:r>
        <w:rPr>
          <w:color w:val="595959"/>
          <w:sz w:val="18"/>
          <w:szCs w:val="18"/>
        </w:rPr>
        <w:t xml:space="preserve">Body word count: </w:t>
      </w:r>
      <w:r>
        <w:rPr>
          <w:b/>
          <w:bCs/>
          <w:color w:val="595959"/>
          <w:sz w:val="18"/>
          <w:szCs w:val="18"/>
        </w:rPr>
        <w:t>490 / 500</w:t>
      </w:r>
      <w:r>
        <w:rPr>
          <w:i/>
          <w:iCs/>
          <w:color w:val="595959"/>
          <w:sz w:val="18"/>
          <w:szCs w:val="18"/>
        </w:rPr>
        <w:t xml:space="preserve">  (title, section headings and keywords are excluded per submission rules §4)</w:t>
      </w:r>
    </w:p>
    <w:p>
      <w:pPr>
        <w:spacing w:after="60"/>
      </w:pPr>
      <w:r>
        <w:rPr>
          <w:color w:val="595959"/>
          <w:sz w:val="18"/>
          <w:szCs w:val="18"/>
        </w:rPr>
        <w:t xml:space="preserve">Deadline: </w:t>
      </w:r>
      <w:r>
        <w:rPr>
          <w:b/>
          <w:bCs/>
          <w:color w:val="595959"/>
          <w:sz w:val="18"/>
          <w:szCs w:val="18"/>
        </w:rPr>
        <w:t xml:space="preserve">July 24, 2026, 11:59 PM PST</w:t>
      </w:r>
      <w:r>
        <w:rPr>
          <w:color w:val="595959"/>
          <w:sz w:val="18"/>
          <w:szCs w:val="18"/>
        </w:rPr>
        <w:t xml:space="preserve">   ·   Portal EventKey: </w:t>
      </w:r>
      <w:r>
        <w:rPr>
          <w:rFonts w:ascii="Consolas" w:cs="Consolas" w:eastAsia="Consolas" w:hAnsi="Consolas"/>
          <w:color w:val="595959"/>
          <w:sz w:val="18"/>
          <w:szCs w:val="18"/>
        </w:rPr>
        <w:t xml:space="preserve">QRFBVSUS</w:t>
      </w:r>
      <w:r>
        <w:rPr>
          <w:i/>
          <w:iCs/>
          <w:color w:val="595959"/>
          <w:sz w:val="18"/>
          <w:szCs w:val="18"/>
        </w:rPr>
        <w:t xml:space="preserve">   ·   Not blind: institution / tool names allowed.</w:t>
      </w:r>
    </w:p>
    <w:p>
      <w:pPr>
        <w:pBdr>
          <w:bottom w:val="single" w:color="BFBFBF" w:sz="6" w:space="6"/>
        </w:pBdr>
        <w:spacing w:after="240"/>
      </w:pPr>
    </w:p>
    <w:p>
      <w:pPr>
        <w:pStyle w:val="Heading1"/>
        <w:tabs>
          <w:tab w:val="right" w:pos="8640"/>
        </w:tabs>
        <w:spacing w:after="100" w:before="260"/>
      </w:pPr>
      <w:r>
        <w:rPr>
          <w:b/>
          <w:bCs/>
          <w:color w:val="1F3864"/>
          <w:sz w:val="24"/>
          <w:szCs w:val="24"/>
        </w:rPr>
        <w:t xml:space="preserve">Keywords</w:t>
      </w:r>
    </w:p>
    <w:p>
      <w:pPr>
        <w:spacing w:after="160" w:line="276"/>
      </w:pPr>
      <w:r>
        <w:rPr>
          <w:sz w:val="22"/>
          <w:szCs w:val="22"/>
        </w:rPr>
        <w:t xml:space="preserve">human-in-the-loop; interactive segmentation; agentic AI; Model Context Protocol; provenance; foundation models; TotalSegmentator; open-source toolkits</w:t>
      </w:r>
    </w:p>
    <w:p>
      <w:pPr>
        <w:pStyle w:val="Heading1"/>
        <w:tabs>
          <w:tab w:val="right" w:pos="8640"/>
        </w:tabs>
        <w:spacing w:after="100" w:before="260"/>
      </w:pPr>
      <w:r>
        <w:rPr>
          <w:b/>
          <w:bCs/>
          <w:color w:val="1F3864"/>
          <w:sz w:val="24"/>
          <w:szCs w:val="24"/>
        </w:rPr>
        <w:t xml:space="preserve">Problem Statement</w:t>
      </w:r>
      <w:r>
        <w:tab/>
      </w:r>
      <w:r>
        <w:rPr>
          <w:i/>
          <w:iCs/>
          <w:color w:val="595959"/>
          <w:sz w:val="16"/>
          <w:szCs w:val="16"/>
        </w:rPr>
        <w:t xml:space="preserve">87 words</w:t>
      </w:r>
    </w:p>
    <w:p>
      <w:pPr>
        <w:spacing w:after="160" w:line="276"/>
      </w:pPr>
      <w:r>
        <w:rPr>
          <w:sz w:val="22"/>
          <w:szCs w:val="22"/>
        </w:rPr>
        <w:t xml:space="preserve">Automatic segmentation models are increasingly accurate but still imperfect, so clinical and research pipelines still rely on expert review and correction. Yet that judgment remains confined to interactive software: a person opens an image, paints a fix, and saves a file, while the reasoning and the exact change are lost. An automated pipeline has no direct way to </w:t>
      </w:r>
      <w:r>
        <w:rPr>
          <w:i/>
          <w:iCs/>
          <w:sz w:val="22"/>
          <w:szCs w:val="22"/>
        </w:rPr>
        <w:t xml:space="preserve">call</w:t>
      </w:r>
      <w:r>
        <w:rPr>
          <w:sz w:val="22"/>
          <w:szCs w:val="22"/>
        </w:rPr>
        <w:t xml:space="preserve"> on an expert as a defined step and receive a result it can read back. Human review is essential in practice yet largely absent from our software interfaces.</w:t>
      </w:r>
    </w:p>
    <w:p>
      <w:pPr>
        <w:pStyle w:val="Heading1"/>
        <w:tabs>
          <w:tab w:val="right" w:pos="8640"/>
        </w:tabs>
        <w:spacing w:after="100" w:before="260"/>
      </w:pPr>
      <w:r>
        <w:rPr>
          <w:b/>
          <w:bCs/>
          <w:color w:val="1F3864"/>
          <w:sz w:val="24"/>
          <w:szCs w:val="24"/>
        </w:rPr>
        <w:t xml:space="preserve">Approach / What You Built</w:t>
      </w:r>
      <w:r>
        <w:tab/>
      </w:r>
      <w:r>
        <w:rPr>
          <w:i/>
          <w:iCs/>
          <w:color w:val="595959"/>
          <w:sz w:val="16"/>
          <w:szCs w:val="16"/>
        </w:rPr>
        <w:t>166 words</w:t>
      </w:r>
    </w:p>
    <w:p>
      <w:pPr>
        <w:spacing w:after="160" w:line="276"/>
      </w:pPr>
      <w:r>
        <w:rPr>
          <w:sz w:val="22"/>
          <w:szCs w:val="22"/>
        </w:rPr>
        <w:t>We made ITK-SNAP — a 20-year-old open-source segmentation application with over a million downloads — callable by an AI agent through the Model Context Protocol (MCP), a standard way to connect programs to external tools. The agent runs a segmentation model (TotalSegmentator, hosted on our open itksnap-dls server) and writes its proposal into a saved ITK-SNAP workspace in the background. When a case needs review, the agent reopens that workspace in an interactive session for a person to correct. Every edit, by agent or person, returns a structured record of what changed, not just a saved file (Table 1). Two decisions make this practical. First, the record is captured once, in one format — whether ITK-SNAP is edited in the background or interactively — so none of its eleven editing tools had to change. Second, because all state lives in the workspace file, the step can be paused and resumed: a pipeline can prepare a case before anyone is involved, and the record persists across sessions.</w:t>
      </w:r>
      <w:r>
        <w:rPr>
          <w:i w:val="0"/>
          <w:iCs/>
          <w:sz w:val="22"/>
          <w:szCs w:val="22"/>
        </w:rPr>
      </w:r>
      <w:r>
        <w:rPr>
          <w:sz w:val="22"/>
          <w:szCs w:val="22"/>
        </w:rPr>
      </w:r>
    </w:p>
    <w:p>
      <w:pPr>
        <w:pStyle w:val="Heading1"/>
        <w:tabs>
          <w:tab w:val="right" w:pos="8640"/>
        </w:tabs>
        <w:spacing w:after="100" w:before="260"/>
      </w:pPr>
      <w:r>
        <w:rPr>
          <w:b/>
          <w:bCs/>
          <w:color w:val="1F3864"/>
          <w:sz w:val="24"/>
          <w:szCs w:val="24"/>
        </w:rPr>
        <w:t xml:space="preserve">Demo or Evidence of Function</w:t>
      </w:r>
      <w:r>
        <w:tab/>
      </w:r>
      <w:r>
        <w:rPr>
          <w:i/>
          <w:iCs/>
          <w:color w:val="595959"/>
          <w:sz w:val="16"/>
          <w:szCs w:val="16"/>
        </w:rPr>
        <w:t>96 words</w:t>
      </w:r>
    </w:p>
    <w:p>
      <w:pPr>
        <w:spacing w:after="160" w:line="276"/>
      </w:pPr>
      <w:r>
        <w:rPr>
          <w:sz w:val="22"/>
          <w:szCs w:val="22"/>
        </w:rPr>
        <w:t xml:space="preserve">The code (two open-source repositories) and a short video walkthrough are linked with the submission. We verified the full sequence on a GPU: the agent ran TotalSegmentator on a body CT (48 anatomically correct thoracic structures), wrote one structure into an ITK-SNAP workspace, and read back the record (Table 1). A person opened that workspace in ITK-SNAP and corrected the proposal with the paintbrush; the agent received an identical record automatically labeled as human-made (</w:t>
      </w:r>
      <w:r>
        <w:rPr>
          <w:rFonts w:ascii="Consolas" w:cs="Consolas" w:eastAsia="Consolas" w:hAnsi="Consolas"/>
          <w:sz w:val="20"/>
          <w:szCs w:val="20"/>
        </w:rPr>
        <w:t>actor: human</w:t>
      </w:r>
      <w:r>
        <w:rPr>
          <w:sz w:val="22"/>
          <w:szCs w:val="22"/>
        </w:rPr>
        <w:t xml:space="preserve">) — because the agent reads that label, any edit it did not make is attributed to the person (Figure 1).</w:t>
      </w:r>
      <w:r>
        <w:rPr>
          <w:rFonts w:ascii="Consolas" w:cs="Consolas" w:eastAsia="Consolas" w:hAnsi="Consolas"/>
          <w:sz w:val="20"/>
          <w:szCs w:val="20"/>
        </w:rPr>
      </w:r>
      <w:r>
        <w:rPr>
          <w:sz w:val="22"/>
          <w:szCs w:val="22"/>
        </w:rPr>
      </w:r>
    </w:p>
    <w:p>
      <w:pPr>
        <w:pStyle w:val="Heading1"/>
        <w:tabs>
          <w:tab w:val="right" w:pos="8640"/>
        </w:tabs>
        <w:spacing w:after="100" w:before="260"/>
      </w:pPr>
      <w:r>
        <w:rPr>
          <w:b/>
          <w:bCs/>
          <w:color w:val="1F3864"/>
          <w:sz w:val="24"/>
          <w:szCs w:val="24"/>
        </w:rPr>
        <w:t xml:space="preserve">Clinical or Operational Impact</w:t>
      </w:r>
      <w:r>
        <w:tab/>
      </w:r>
      <w:r>
        <w:rPr>
          <w:i/>
          <w:iCs/>
          <w:color w:val="595959"/>
          <w:sz w:val="16"/>
          <w:szCs w:val="16"/>
        </w:rPr>
        <w:t xml:space="preserve">47 words</w:t>
      </w:r>
    </w:p>
    <w:p>
      <w:pPr>
        <w:spacing w:after="160" w:line="276"/>
      </w:pPr>
      <w:r>
        <w:rPr>
          <w:sz w:val="22"/>
          <w:szCs w:val="22"/>
        </w:rPr>
        <w:t xml:space="preserve">Expert review becomes a pipeline step that can be scheduled, paused, and resumed. In a large automated study, a person reviews only uncertain cases, and each correction is recorded — what changed and who made it — in a form reusable to retrain models and audit quality.</w:t>
      </w:r>
    </w:p>
    <w:p>
      <w:pPr>
        <w:pStyle w:val="Heading1"/>
        <w:tabs>
          <w:tab w:val="right" w:pos="8640"/>
        </w:tabs>
        <w:spacing w:after="100" w:before="260"/>
      </w:pPr>
      <w:r>
        <w:rPr>
          <w:b/>
          <w:bCs/>
          <w:color w:val="1F3864"/>
          <w:sz w:val="24"/>
          <w:szCs w:val="24"/>
        </w:rPr>
        <w:t xml:space="preserve">Current Stage</w:t>
      </w:r>
      <w:r>
        <w:tab/>
      </w:r>
      <w:r>
        <w:rPr>
          <w:i/>
          <w:iCs/>
          <w:color w:val="595959"/>
          <w:sz w:val="16"/>
          <w:szCs w:val="16"/>
        </w:rPr>
        <w:t>49 words</w:t>
      </w:r>
    </w:p>
    <w:p>
      <w:pPr>
        <w:spacing w:after="160" w:line="276"/>
      </w:pPr>
      <w:r>
        <w:rPr>
          <w:sz w:val="22"/>
          <w:szCs w:val="22"/>
        </w:rPr>
        <w:t>Prototype, open-source, not a product. The propose–apply–record workflow works from start to finish; the correction in the walkthrough was made by a developer, not a clinician, so it tests the mechanism rather than clinical judgment. Routing only low-confidence cases to a person, and a packaged release, are in progress.</w:t>
      </w:r>
    </w:p>
    <w:p>
      <w:pPr>
        <w:pStyle w:val="Heading1"/>
        <w:tabs>
          <w:tab w:val="right" w:pos="8640"/>
        </w:tabs>
        <w:spacing w:after="100" w:before="260"/>
      </w:pPr>
      <w:r>
        <w:rPr>
          <w:b/>
          <w:bCs/>
          <w:color w:val="1F3864"/>
          <w:sz w:val="24"/>
          <w:szCs w:val="24"/>
        </w:rPr>
        <w:t xml:space="preserve">What Feedback You're Seeking</w:t>
      </w:r>
      <w:r>
        <w:tab/>
      </w:r>
      <w:r>
        <w:rPr>
          <w:i/>
          <w:iCs/>
          <w:color w:val="595959"/>
          <w:sz w:val="16"/>
          <w:szCs w:val="16"/>
        </w:rPr>
        <w:t xml:space="preserve">45 words</w:t>
      </w:r>
    </w:p>
    <w:p>
      <w:pPr>
        <w:spacing w:after="160" w:line="276"/>
      </w:pPr>
      <w:r>
        <w:rPr>
          <w:sz w:val="22"/>
          <w:szCs w:val="22"/>
        </w:rPr>
        <w:t xml:space="preserve">Which fields in the change record matter most for retraining and record-keeping? What confidence measures would you trust to decide between accepting a result and routing it to a person? And where would a callable expert-correction step fit into your existing annotation and quality-control workflows?</w:t>
      </w:r>
    </w:p>
    <w:p>
      <w:r>
        <w:br w:type="page"/>
      </w:r>
    </w:p>
    <w:p>
      <w:pPr>
        <w:spacing w:after="160"/>
      </w:pPr>
      <w:r>
        <w:rPr>
          <w:b/>
          <w:sz w:val="26"/>
        </w:rPr>
        <w:t>Figures</w:t>
      </w:r>
    </w:p>
    <w:p>
      <w:pPr>
        <w:jc w:val="center"/>
      </w:pPr>
      <w:r>
        <w:drawing>
          <wp:inline xmlns:a="http://schemas.openxmlformats.org/drawingml/2006/main" xmlns:pic="http://schemas.openxmlformats.org/drawingml/2006/picture">
            <wp:extent cx="5394960" cy="3931920"/>
            <wp:docPr id="1" name="Picture 1"/>
            <wp:cNvGraphicFramePr>
              <a:graphicFrameLocks noChangeAspect="1"/>
            </wp:cNvGraphicFramePr>
            <a:graphic>
              <a:graphicData uri="http://schemas.openxmlformats.org/drawingml/2006/picture">
                <pic:pic>
                  <pic:nvPicPr>
                    <pic:cNvPr id="0" name="fig1_flow.png"/>
                    <pic:cNvPicPr/>
                  </pic:nvPicPr>
                  <pic:blipFill>
                    <a:blip r:embed="rId9"/>
                    <a:stretch>
                      <a:fillRect/>
                    </a:stretch>
                  </pic:blipFill>
                  <pic:spPr>
                    <a:xfrm>
                      <a:off x="0" y="0"/>
                      <a:ext cx="5394960" cy="3931920"/>
                    </a:xfrm>
                    <a:prstGeom prst="rect"/>
                  </pic:spPr>
                </pic:pic>
              </a:graphicData>
            </a:graphic>
          </wp:inline>
        </w:drawing>
      </w:r>
    </w:p>
    <w:p>
      <w:pPr>
        <w:spacing w:before="80" w:after="200"/>
      </w:pPr>
      <w:r>
        <w:rPr>
          <w:b/>
          <w:color w:val="333333"/>
          <w:sz w:val="18"/>
        </w:rPr>
        <w:t xml:space="preserve">Figure 1. </w:t>
      </w:r>
      <w:r>
        <w:rPr>
          <w:color w:val="333333"/>
          <w:sz w:val="18"/>
        </w:rPr>
        <w:t>One complete run, centered on the workspace file. The agent creates an ITK-SNAP workspace, gets an automatic proposal from the model server, and writes it into the workspace in the background, with no ITK-SNAP window open (steps 0–6). When a case needs review it opens the workspace in ITK-SNAP for a paintbrush correction; every saved edit returns the same structured record, labeled agent or human.</w:t>
      </w:r>
    </w:p>
    <w:p>
      <w:pPr>
        <w:jc w:val="center"/>
      </w:pPr>
      <w:r>
        <w:drawing>
          <wp:inline xmlns:a="http://schemas.openxmlformats.org/drawingml/2006/main" xmlns:pic="http://schemas.openxmlformats.org/drawingml/2006/picture">
            <wp:extent cx="5394960" cy="3281016"/>
            <wp:docPr id="2" name="Picture 2"/>
            <wp:cNvGraphicFramePr>
              <a:graphicFrameLocks noChangeAspect="1"/>
            </wp:cNvGraphicFramePr>
            <a:graphic>
              <a:graphicData uri="http://schemas.openxmlformats.org/drawingml/2006/picture">
                <pic:pic>
                  <pic:nvPicPr>
                    <pic:cNvPr id="0" name="fig3_audit_record.png"/>
                    <pic:cNvPicPr/>
                  </pic:nvPicPr>
                  <pic:blipFill>
                    <a:blip r:embed="rId10"/>
                    <a:stretch>
                      <a:fillRect/>
                    </a:stretch>
                  </pic:blipFill>
                  <pic:spPr>
                    <a:xfrm>
                      <a:off x="0" y="0"/>
                      <a:ext cx="5394960" cy="3281016"/>
                    </a:xfrm>
                    <a:prstGeom prst="rect"/>
                  </pic:spPr>
                </pic:pic>
              </a:graphicData>
            </a:graphic>
          </wp:inline>
        </w:drawing>
      </w:r>
    </w:p>
    <w:p>
      <w:pPr>
        <w:spacing w:before="80" w:after="200"/>
      </w:pPr>
      <w:r>
        <w:rPr>
          <w:b/>
          <w:color w:val="333333"/>
          <w:sz w:val="18"/>
        </w:rPr>
        <w:t xml:space="preserve">Table 1. </w:t>
      </w:r>
      <w:r>
        <w:rPr>
          <w:color w:val="333333"/>
          <w:sz w:val="18"/>
        </w:rPr>
        <w:t>What comes back: the record for one saved edit. Values from the verified run (a proposed left upper lung lobe). The same fields are returned whether the edit is made in the background or corrected interactively in ITK-SNAP; a human correction returns an identical record labeled actor: human.</w:t>
      </w:r>
    </w:p>
    <w:p>
      <w:pPr>
        <w:pStyle w:val="Heading1"/>
        <w:tabs>
          <w:tab w:val="right" w:pos="8640"/>
        </w:tabs>
        <w:spacing w:after="100" w:before="260"/>
      </w:pPr>
      <w:r>
        <w:rPr>
          <w:b/>
          <w:bCs/>
          <w:color w:val="1F3864"/>
          <w:sz w:val="24"/>
          <w:szCs w:val="24"/>
        </w:rPr>
        <w:t xml:space="preserve">Submission links</w:t>
      </w:r>
    </w:p>
    <w:p>
      <w:pPr>
        <w:spacing w:after="120"/>
      </w:pPr>
      <w:r>
        <w:rPr>
          <w:i/>
          <w:iCs/>
          <w:color w:val="595959"/>
          <w:sz w:val="18"/>
          <w:szCs w:val="18"/>
        </w:rPr>
        <w:t xml:space="preserve">Not part of the 500-word body — paste into the portal's demo / repo / video fields.</w:t>
      </w:r>
    </w:p>
    <w:p>
      <w:pPr>
        <w:spacing w:after="60"/>
        <w:ind w:left="288"/>
      </w:pPr>
      <w:r>
        <w:rPr>
          <w:sz w:val="22"/>
          <w:szCs w:val="22"/>
        </w:rPr>
        <w:t xml:space="preserve">Agent code (Python): </w:t>
      </w:r>
      <w:r>
        <w:rPr>
          <w:rFonts w:ascii="Consolas" w:cs="Consolas" w:eastAsia="Consolas" w:hAnsi="Consolas"/>
          <w:sz w:val="20"/>
          <w:szCs w:val="20"/>
          <w:color w:val="1F3864"/>
        </w:rPr>
        <w:t xml:space="preserve">https://github.com/jilei-hao/itksnap-mcp</w:t>
      </w:r>
    </w:p>
    <w:p>
      <w:pPr>
        <w:spacing w:after="60"/>
        <w:ind w:left="288"/>
      </w:pPr>
      <w:r>
        <w:rPr>
          <w:sz w:val="22"/>
          <w:szCs w:val="22"/>
        </w:rPr>
        <w:t xml:space="preserve">Audit engine, ITK-SNAP fork (C++): </w:t>
      </w:r>
      <w:r>
        <w:rPr>
          <w:rFonts w:ascii="Consolas" w:cs="Consolas" w:eastAsia="Consolas" w:hAnsi="Consolas"/>
          <w:sz w:val="20"/>
          <w:szCs w:val="20"/>
          <w:color w:val="1F3864"/>
        </w:rPr>
        <w:t xml:space="preserve">https://github.com/jilei-hao/itksnap</w:t>
      </w:r>
    </w:p>
    <w:p>
      <w:pPr>
        <w:spacing w:after="60"/>
        <w:ind w:left="288"/>
      </w:pPr>
      <w:r>
        <w:rPr>
          <w:sz w:val="22"/>
          <w:szCs w:val="22"/>
        </w:rPr>
        <w:t xml:space="preserve">Demo video (YouTube): </w:t>
      </w:r>
      <w:r>
        <w:rPr>
          <w:rFonts w:ascii="Consolas" w:cs="Consolas" w:eastAsia="Consolas" w:hAnsi="Consolas"/>
          <w:sz w:val="20"/>
          <w:szCs w:val="20"/>
          <w:color w:val="1F3864"/>
        </w:rPr>
        <w:t xml:space="preserve">[add URL after upload]</w:t>
      </w:r>
    </w:p>
    <w:p>
      <w:pPr>
        <w:pStyle w:val="Heading1"/>
        <w:tabs>
          <w:tab w:val="right" w:pos="8640"/>
        </w:tabs>
        <w:spacing w:after="100" w:before="260"/>
      </w:pPr>
      <w:r>
        <w:rPr>
          <w:b/>
          <w:bCs/>
          <w:color w:val="1F3864"/>
          <w:sz w:val="24"/>
          <w:szCs w:val="24"/>
        </w:rPr>
        <w:t xml:space="preserve">Demo video — YouTube title and description</w:t>
      </w:r>
    </w:p>
    <w:p>
      <w:pPr>
        <w:spacing w:after="120"/>
      </w:pPr>
      <w:r>
        <w:rPr>
          <w:i/>
          <w:iCs/>
          <w:color w:val="595959"/>
          <w:sz w:val="18"/>
          <w:szCs w:val="18"/>
        </w:rPr>
        <w:t xml:space="preserve">Metadata for the video upload, not part of the abstract.</w:t>
      </w:r>
    </w:p>
    <w:p>
      <w:pPr>
        <w:spacing w:before="140" w:after="60"/>
      </w:pPr>
      <w:r>
        <w:rPr>
          <w:b/>
          <w:bCs/>
          <w:sz w:val="22"/>
          <w:szCs w:val="22"/>
        </w:rPr>
        <w:t xml:space="preserve">Title — primary (68 characters, displays in full):</w:t>
      </w:r>
    </w:p>
    <w:p>
      <w:pPr>
        <w:shd w:val="clear" w:fill="F5F5F5"/>
        <w:spacing w:after="120" w:line="240"/>
        <w:ind w:left="288"/>
      </w:pPr>
      <w:r>
        <w:rPr>
          <w:rFonts w:ascii="Consolas" w:cs="Consolas" w:eastAsia="Consolas" w:hAnsi="Consolas"/>
          <w:sz w:val="20"/>
          <w:szCs w:val="20"/>
        </w:rPr>
        <w:t xml:space="preserve">Auditable Human-in-the-Loop Segmentation with ITK-SNAP and AI Agents</w:t>
      </w:r>
    </w:p>
    <w:p>
      <w:pPr>
        <w:spacing w:before="140" w:after="60"/>
      </w:pPr>
      <w:r>
        <w:rPr>
          <w:b/>
          <w:bCs/>
          <w:sz w:val="22"/>
          <w:szCs w:val="22"/>
        </w:rPr>
        <w:t xml:space="preserve">Title — alternative (mirrors the abstract title):</w:t>
      </w:r>
    </w:p>
    <w:p>
      <w:pPr>
        <w:shd w:val="clear" w:fill="F5F5F5"/>
        <w:spacing w:after="120" w:line="240"/>
        <w:ind w:left="288"/>
      </w:pPr>
      <w:r>
        <w:rPr>
          <w:rFonts w:ascii="Consolas" w:cs="Consolas" w:eastAsia="Consolas" w:hAnsi="Consolas"/>
          <w:sz w:val="20"/>
          <w:szCs w:val="20"/>
        </w:rPr>
        <w:t xml:space="preserve">ITK-SNAP as an Agent-Callable Tool: Auditable Human Correction in an AI Pipeline</w:t>
      </w:r>
    </w:p>
    <w:p>
      <w:pPr>
        <w:spacing w:before="140" w:after="60"/>
      </w:pPr>
      <w:r>
        <w:rPr>
          <w:b/>
          <w:bCs/>
          <w:sz w:val="22"/>
          <w:szCs w:val="22"/>
        </w:rPr>
        <w:t xml:space="preserve">Description (paste verbatim into YouTube):</w:t>
      </w:r>
    </w:p>
    <w:p>
      <w:pPr>
        <w:shd w:val="clear" w:fill="F5F5F5"/>
        <w:spacing w:after="0" w:line="240"/>
        <w:ind w:left="288" w:right="288"/>
      </w:pPr>
      <w:r>
        <w:rPr>
          <w:rFonts w:ascii="Consolas" w:cs="Consolas" w:eastAsia="Consolas" w:hAnsi="Consolas"/>
          <w:sz w:val="19"/>
          <w:szCs w:val="19"/>
        </w:rPr>
        <w:t xml:space="preserve">An open-source prototype that lets an AI agent call ITK-SNAP as a tool and treats expert human correction as an auditable, resumable step in an automated segmentation pipeline.</w:t>
      </w:r>
    </w:p>
    <w:p>
      <w:pPr>
        <w:shd w:val="clear" w:fill="F5F5F5"/>
        <w:spacing w:after="0" w:line="240"/>
        <w:ind w:left="288" w:right="288"/>
      </w:pPr>
      <w:r>
        <w:rPr>
          <w:rFonts w:ascii="Consolas" w:cs="Consolas" w:eastAsia="Consolas" w:hAnsi="Consolas"/>
          <w:sz w:val="19"/>
          <w:szCs w:val="19"/>
        </w:rPr>
        <w:t xml:space="preserve"/>
      </w:r>
    </w:p>
    <w:p>
      <w:pPr>
        <w:shd w:val="clear" w:fill="F5F5F5"/>
        <w:spacing w:after="0" w:line="240"/>
        <w:ind w:left="288" w:right="288"/>
      </w:pPr>
      <w:r>
        <w:rPr>
          <w:rFonts w:ascii="Consolas" w:cs="Consolas" w:eastAsia="Consolas" w:hAnsi="Consolas"/>
          <w:sz w:val="19"/>
          <w:szCs w:val="19"/>
        </w:rPr>
        <w:t xml:space="preserve">In this walkthrough, the agent runs an automatic segmentation model (TotalSegmentator) on a body CT and writes the result into a saved ITK-SNAP workspace in the background — with no window open. A person then opens the same workspace in ITK-SNAP and corrects the result with the paintbrush. Every edit, by agent or human, returns a structured record of what changed and who changed it, so corrections become reusable, attributable data.</w:t>
      </w:r>
    </w:p>
    <w:p>
      <w:pPr>
        <w:shd w:val="clear" w:fill="F5F5F5"/>
        <w:spacing w:after="0" w:line="240"/>
        <w:ind w:left="288" w:right="288"/>
      </w:pPr>
      <w:r>
        <w:rPr>
          <w:rFonts w:ascii="Consolas" w:cs="Consolas" w:eastAsia="Consolas" w:hAnsi="Consolas"/>
          <w:sz w:val="19"/>
          <w:szCs w:val="19"/>
        </w:rPr>
        <w:t xml:space="preserve"/>
      </w:r>
    </w:p>
    <w:p>
      <w:pPr>
        <w:shd w:val="clear" w:fill="F5F5F5"/>
        <w:spacing w:after="0" w:line="240"/>
        <w:ind w:left="288" w:right="288"/>
      </w:pPr>
      <w:r>
        <w:rPr>
          <w:rFonts w:ascii="Consolas" w:cs="Consolas" w:eastAsia="Consolas" w:hAnsi="Consolas"/>
          <w:sz w:val="19"/>
          <w:szCs w:val="19"/>
        </w:rPr>
        <w:t xml:space="preserve">Code:</w:t>
      </w:r>
    </w:p>
    <w:p>
      <w:pPr>
        <w:shd w:val="clear" w:fill="F5F5F5"/>
        <w:spacing w:after="0" w:line="240"/>
        <w:ind w:left="288" w:right="288"/>
      </w:pPr>
      <w:r>
        <w:rPr>
          <w:rFonts w:ascii="Consolas" w:cs="Consolas" w:eastAsia="Consolas" w:hAnsi="Consolas"/>
          <w:sz w:val="19"/>
          <w:szCs w:val="19"/>
        </w:rPr>
        <w:t xml:space="preserve">• Agent (Python): https://github.com/jilei-hao/itksnap-mcp</w:t>
      </w:r>
    </w:p>
    <w:p>
      <w:pPr>
        <w:shd w:val="clear" w:fill="F5F5F5"/>
        <w:spacing w:after="0" w:line="240"/>
        <w:ind w:left="288" w:right="288"/>
      </w:pPr>
      <w:r>
        <w:rPr>
          <w:rFonts w:ascii="Consolas" w:cs="Consolas" w:eastAsia="Consolas" w:hAnsi="Consolas"/>
          <w:sz w:val="19"/>
          <w:szCs w:val="19"/>
        </w:rPr>
        <w:t xml:space="preserve">• ITK-SNAP fork (C++): https://github.com/jilei-hao/itksnap</w:t>
      </w:r>
    </w:p>
    <w:p>
      <w:pPr>
        <w:shd w:val="clear" w:fill="F5F5F5"/>
        <w:spacing w:after="0" w:line="240"/>
        <w:ind w:left="288" w:right="288"/>
      </w:pPr>
      <w:r>
        <w:rPr>
          <w:rFonts w:ascii="Consolas" w:cs="Consolas" w:eastAsia="Consolas" w:hAnsi="Consolas"/>
          <w:sz w:val="19"/>
          <w:szCs w:val="19"/>
        </w:rPr>
        <w:t xml:space="preserve"/>
      </w:r>
    </w:p>
    <w:p>
      <w:pPr>
        <w:shd w:val="clear" w:fill="F5F5F5"/>
        <w:spacing w:after="200" w:line="240"/>
        <w:ind w:left="288" w:right="288"/>
      </w:pPr>
      <w:r>
        <w:rPr>
          <w:rFonts w:ascii="Consolas" w:cs="Consolas" w:eastAsia="Consolas" w:hAnsi="Consolas"/>
          <w:sz w:val="19"/>
          <w:szCs w:val="19"/>
        </w:rPr>
        <w:t xml:space="preserve">Presented at the SIIM-CAIMI26 AI Builder Showcase.</w:t>
      </w:r>
    </w:p>
    <w:sectPr>
      <w:footerReference w:type="default" r:id="rId7"/>
      <w:pgSz w:w="12240" w:h="15840" w:orient="portrait"/>
      <w:pgMar w:top="1440" w:right="2016"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95959"/>
        <w:sz w:val="16"/>
        <w:szCs w:val="16"/>
      </w:rPr>
      <w:t xml:space="preserve">SIIM-CAIMI26 · AI Builder Showcase · draft for review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24"/>
      <w:szCs w:val="24"/>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SIIM-CAIMI26 AI Builder Showcase — ITK-SNAP as an Agent-Callable Tool</dc:title>
  <dc:creator>Jilei Hao</dc:creator>
  <dc:description>Review copy of the CAIMI26 AI Builder Showcase abstract</dc:description>
  <cp:lastModifiedBy>Un-named</cp:lastModifiedBy>
  <cp:revision>1</cp:revision>
  <dcterms:created xsi:type="dcterms:W3CDTF">2026-07-23T20:13:41.010Z</dcterms:created>
  <dcterms:modified xsi:type="dcterms:W3CDTF">2026-07-23T20:13:41.011Z</dcterms:modified>
</cp:coreProperties>
</file>

<file path=docProps/custom.xml><?xml version="1.0" encoding="utf-8"?>
<Properties xmlns="http://schemas.openxmlformats.org/officeDocument/2006/custom-properties" xmlns:vt="http://schemas.openxmlformats.org/officeDocument/2006/docPropsVTypes"/>
</file>