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62626"/>
          <w:sz w:val="26"/>
          <w:szCs w:val="26"/>
        </w:rPr>
        <w:t xml:space="preserve">Supporting Document — ITK-SNAP: Human-in-the-Loop AI Image Segmentation</w:t>
      </w:r>
    </w:p>
    <w:p>
      <w:pPr>
        <w:spacing w:after="200"/>
      </w:pPr>
      <w:r>
        <w:rPr>
          <w:b/>
          <w:bCs/>
          <w:i/>
          <w:iCs/>
          <w:color w:val="777777"/>
          <w:sz w:val="18"/>
          <w:szCs w:val="18"/>
        </w:rPr>
        <w:t xml:space="preserve">What this is.</w:t>
      </w:r>
      <w:r>
        <w:rPr>
          <w:i/>
          <w:iCs/>
          <w:color w:val="777777"/>
          <w:sz w:val="18"/>
          <w:szCs w:val="18"/>
        </w:rPr>
        <w:t xml:space="preserve"> Draft content for the optional Section-4 upload (1 PDF, ≤ 4 pages: PI/co-PI bios, references, figures, and other supporting documentation). This is not the Section-4 narrative (Section 4 is the character-limited fields in section4_fields.md + the work-plan-template PDF). Content reframed from the earlier draft. </w:t>
      </w:r>
      <w:r>
        <w:rPr>
          <w:b/>
          <w:bCs/>
          <w:i/>
          <w:iCs/>
          <w:color w:val="777777"/>
          <w:sz w:val="18"/>
          <w:szCs w:val="18"/>
        </w:rPr>
        <w:t xml:space="preserve">Check that this renders to ≤ 4 pages before exporting; trim figures or bios to fit.</w:t>
      </w:r>
      <w:r>
        <w:rPr>
          <w:i/>
          <w:iCs/>
          <w:color w:val="777777"/>
          <w:sz w:val="18"/>
          <w:szCs w:val="18"/>
        </w:rPr>
        <w:t xml:space="preserve"> [bracketed italics] = the team must complete/verify.</w:t>
      </w:r>
    </w:p>
    <w:p>
      <w:pPr>
        <w:pBdr>
          <w:bottom w:val="single" w:color="F79646" w:sz="10" w:space="3"/>
        </w:pBdr>
        <w:spacing w:after="120" w:before="260"/>
      </w:pPr>
      <w:r>
        <w:rPr>
          <w:b/>
          <w:bCs/>
          <w:color w:val="262626"/>
          <w:sz w:val="26"/>
          <w:szCs w:val="26"/>
        </w:rPr>
        <w:t xml:space="preserve">1. PI and Co-PI biographies</w:t>
      </w:r>
    </w:p>
    <w:p>
      <w:pPr>
        <w:spacing w:after="120" w:line="260"/>
      </w:pPr>
      <w:r>
        <w:rPr>
          <w:i/>
          <w:iCs/>
          <w:color w:val="777777"/>
        </w:rPr>
        <w:t xml:space="preserve">(The optional upload asks for PI/co-PI bios only. Other key personnel — e.g. lead developer Jilei Hao — are captured in Section 1 of the application form, not here.)</w:t>
      </w:r>
    </w:p>
    <w:p>
      <w:pPr>
        <w:spacing w:after="120" w:line="264"/>
        <w:jc w:val="both"/>
      </w:pPr>
      <w:r>
        <w:rPr>
          <w:b/>
          <w:bCs/>
        </w:rPr>
        <w:t xml:space="preserve">Paul A. Yushkevich, PhD — Principal Investigator.</w:t>
      </w:r>
      <w:r>
        <w:t xml:space="preserve"> Professor of Radiology at the University of Pennsylvania (Perelman School of Medicine), in the Penn Image Computing and Science Laboratory (PICSL), with a graduate-group appointment in Bioengineering; PhD in Computer Science, University of North Carolina at Chapel Hill (2003). He is the creator and long-standing lead maintainer of ITK-SNAP across its ~20-year history. His NIH-funded research develops statistical-shape and biomedical image-analysis methods — including automatic segmentation and morphometry of the hippocampal formation for Alzheimer's-disease imaging biomarkers, and machine-learning methods that improve general-purpose segmentation — with a sustained record of building open-source imaging software (NIH; CZI EOSS).</w:t>
      </w:r>
      <w:r>
        <w:rPr>
          <w:i/>
          <w:iCs/>
          <w:color w:val="777777"/>
        </w:rPr>
        <w:t xml:space="preserve"> [Add "Director of PICSL" if accurate; the source page lists PICSL as affiliation but not a directorship.]</w:t>
      </w:r>
    </w:p>
    <w:p>
      <w:pPr>
        <w:spacing w:after="120" w:line="264"/>
        <w:jc w:val="both"/>
      </w:pPr>
      <w:r>
        <w:rPr>
          <w:b/>
          <w:bCs/>
        </w:rPr>
        <w:t xml:space="preserve">Alison M. Pouch, PhD — Co-Principal Investigator.</w:t>
      </w:r>
      <w:r>
        <w:t xml:space="preserve"> Assistant Professor of Radiology at the University of Pennsylvania (Perelman School of Medicine), with core-faculty appointments in the Penn Center for Biomedical Image Computing and Analysis (CBICA), the Penn Cardiovascular Institute, and the Penn Institute for Computational Sciences (PICS), and a graduate-group appointment in Bioengineering; PhD in Bioengineering, University of Pennsylvania (2013). Her research centers on cardiac image analysis — 3D/4D echocardiography, heart-valve modeling, and 3D-ultrasound and foundation-model segmentation — and she is a senior author on the ITK-SNAP 4 / 4D cardiac tools paper (Hao et al., FIMH 2025 — ref 2), collaborating directly with the project's lead developer. In this project she leads the cardiac use cases and the Year-2 evaluation of expert-in-the-loop model improvement.</w:t>
      </w:r>
    </w:p>
    <w:p>
      <w:pPr>
        <w:spacing w:after="120" w:line="260"/>
      </w:pPr>
      <w:r>
        <w:rPr>
          <w:i/>
          <w:iCs/>
          <w:color w:val="777777"/>
        </w:rPr>
        <w:t xml:space="preserve">[Add any additional co-PIs with a 2–3 sentence bio each; do not exceed the ≤4-page budget.]</w:t>
      </w:r>
    </w:p>
    <w:p>
      <w:pPr>
        <w:pBdr>
          <w:bottom w:val="single" w:color="F79646" w:sz="10" w:space="3"/>
        </w:pBdr>
        <w:spacing w:after="120" w:before="260"/>
      </w:pPr>
      <w:r>
        <w:rPr>
          <w:b/>
          <w:bCs/>
          <w:color w:val="262626"/>
          <w:sz w:val="26"/>
          <w:szCs w:val="26"/>
        </w:rPr>
        <w:t xml:space="preserve">2. Project maturity, adoption, and ecosystem role</w:t>
      </w:r>
    </w:p>
    <w:p>
      <w:pPr>
        <w:spacing w:after="120" w:line="264"/>
        <w:jc w:val="both"/>
      </w:pPr>
      <w:r>
        <w:t xml:space="preserve">ITK-SNAP is among the most established and most-cited tools for 3D/4D biomedical image segmentation:</w:t>
      </w:r>
    </w:p>
    <w:p>
      <w:pPr>
        <w:pStyle w:val="ListParagraph"/>
        <w:numPr>
          <w:ilvl w:val="0"/>
          <w:numId w:val="1"/>
        </w:numPr>
        <w:spacing w:after="90" w:line="264"/>
        <w:jc w:val="both"/>
      </w:pPr>
      <w:r>
        <w:rPr>
          <w:b/>
          <w:bCs/>
        </w:rPr>
        <w:t xml:space="preserve">Scientific impact &amp; adoption:</w:t>
      </w:r>
      <w:r>
        <w:t xml:space="preserve"> ~20 years of continuous development; </w:t>
      </w:r>
      <w:r>
        <w:rPr>
          <w:b/>
          <w:bCs/>
        </w:rPr>
        <w:t xml:space="preserve">11,082 citations</w:t>
      </w:r>
      <w:r>
        <w:t xml:space="preserve"> of the methods paper (incl. </w:t>
      </w:r>
      <w:r>
        <w:rPr>
          <w:i/>
          <w:iCs/>
          <w:color w:val="777777"/>
        </w:rPr>
        <w:t xml:space="preserve">Science</w:t>
      </w:r>
      <w:r>
        <w:t xml:space="preserve"> and </w:t>
      </w:r>
      <w:r>
        <w:rPr>
          <w:i/>
          <w:iCs/>
          <w:color w:val="777777"/>
        </w:rPr>
        <w:t xml:space="preserve">Nature</w:t>
      </w:r>
      <w:r>
        <w:t xml:space="preserve"> venues); </w:t>
      </w:r>
      <w:r>
        <w:rPr>
          <w:b/>
          <w:bCs/>
        </w:rPr>
        <w:t xml:space="preserve">1.16M+ downloads</w:t>
      </w:r>
      <w:r>
        <w:t xml:space="preserve"> (SourceForge); a large international user base across neuroimaging, radiology, and cardiology. </w:t>
      </w:r>
      <w:r>
        <w:rPr>
          <w:i/>
          <w:iCs/>
          <w:color w:val="777777"/>
        </w:rPr>
        <w:t xml:space="preserve">[Add a recent 12–24-month download/citation-growth figure — reviewers weigh recent growth explicitly. See Fig. 2.]</w:t>
      </w:r>
    </w:p>
    <w:p>
      <w:pPr>
        <w:pStyle w:val="ListParagraph"/>
        <w:numPr>
          <w:ilvl w:val="0"/>
          <w:numId w:val="1"/>
        </w:numPr>
        <w:spacing w:after="90" w:line="264"/>
        <w:jc w:val="both"/>
      </w:pPr>
      <w:r>
        <w:rPr>
          <w:b/>
          <w:bCs/>
        </w:rPr>
        <w:t xml:space="preserve">Sustained, open development:</w:t>
      </w:r>
      <w:r>
        <w:t xml:space="preserve"> </w:t>
      </w:r>
      <w:r>
        <w:rPr>
          <w:b/>
          <w:bCs/>
        </w:rPr>
        <w:t xml:space="preserve">2,284 non-merge commits</w:t>
      </w:r>
      <w:r>
        <w:t xml:space="preserve"> and contributions from </w:t>
      </w:r>
      <w:r>
        <w:rPr>
          <w:b/>
          <w:bCs/>
        </w:rPr>
        <w:t xml:space="preserve">~24 individual developers</w:t>
      </w:r>
      <w:r>
        <w:t xml:space="preserve"> over the project's lifetime, with active development continuing through the current 4.6.0-alpha series and the 4.8 / 4.10 release train tracked as public GitHub Milestones.</w:t>
      </w:r>
    </w:p>
    <w:p>
      <w:pPr>
        <w:pStyle w:val="ListParagraph"/>
        <w:numPr>
          <w:ilvl w:val="0"/>
          <w:numId w:val="1"/>
        </w:numPr>
        <w:spacing w:after="90" w:line="264"/>
        <w:jc w:val="both"/>
      </w:pPr>
      <w:r>
        <w:rPr>
          <w:b/>
          <w:bCs/>
        </w:rPr>
        <w:t xml:space="preserve">Ecosystem role:</w:t>
      </w:r>
      <w:r>
        <w:t xml:space="preserve"> built on the ITK/VTK/Qt stack; nnInteractive (CVPR 2025 interactive-segmentation challenge winner) is now integrated across napari, MITK, 3D Slicer, and ITK-SNAP, and our itksnap-dls server is ITK-SNAP's path into that shared model ecosystem. Cross-ecosystem engagement is concrete: past contributors include developers from </w:t>
      </w:r>
      <w:r>
        <w:rPr>
          <w:b/>
          <w:bCs/>
        </w:rPr>
        <w:t xml:space="preserve">Kitware/ITK</w:t>
      </w:r>
      <w:r>
        <w:t xml:space="preserve"> (Dženan Zukić, Matt McCormick, Jared Vicory) and </w:t>
      </w:r>
      <w:r>
        <w:rPr>
          <w:b/>
          <w:bCs/>
        </w:rPr>
        <w:t xml:space="preserve">ANTs</w:t>
      </w:r>
      <w:r>
        <w:t xml:space="preserve"> (Nicholas Tustison) — evidence of real ties across the open-source imaging ecosystem.</w:t>
      </w:r>
    </w:p>
    <w:p>
      <w:pPr>
        <w:pBdr>
          <w:bottom w:val="single" w:color="F79646" w:sz="10" w:space="3"/>
        </w:pBdr>
        <w:spacing w:after="120" w:before="260"/>
      </w:pPr>
      <w:r>
        <w:rPr>
          <w:b/>
          <w:bCs/>
          <w:color w:val="262626"/>
          <w:sz w:val="26"/>
          <w:szCs w:val="26"/>
        </w:rPr>
        <w:t xml:space="preserve">3. Technical approach and feasibility</w:t>
      </w:r>
    </w:p>
    <w:p>
      <w:pPr>
        <w:spacing w:after="120" w:line="264"/>
        <w:jc w:val="both"/>
      </w:pPr>
      <w:r>
        <w:t xml:space="preserve">The effort is </w:t>
      </w:r>
      <w:r>
        <w:rPr>
          <w:b/>
          <w:bCs/>
        </w:rPr>
        <w:t xml:space="preserve">integration-heavy, not greenfield</w:t>
      </w:r>
      <w:r>
        <w:t xml:space="preserve">: it composes mature, working components (ITK-SNAP, itksnap-dls, greedy/Convert3D, SegFlow4D) behind small, well-scoped new interfaces, validated at each step by ITK-SNAP's existing automated test harness. A key feasibility fact is that </w:t>
      </w:r>
      <w:r>
        <w:rPr>
          <w:b/>
          <w:bCs/>
        </w:rPr>
        <w:t xml:space="preserve">both technical substrates already exist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90" w:line="264"/>
        <w:jc w:val="both"/>
      </w:pPr>
      <w:r>
        <w:rPr>
          <w:b/>
          <w:bCs/>
        </w:rPr>
        <w:t xml:space="preserve">A toolkit-independent, GUI-free logic tier.</w:t>
      </w:r>
      <w:r>
        <w:t xml:space="preserve"> ITK-SNAP's core logic already builds free of GUI dependencies — proven today by the shipped headless itksnap-wt binary — so the Python/agent-callable surface (Aim 1) is a binding-and-interface exercise, not a rewrite.</w:t>
      </w:r>
    </w:p>
    <w:p>
      <w:pPr>
        <w:pStyle w:val="ListParagraph"/>
        <w:numPr>
          <w:ilvl w:val="0"/>
          <w:numId w:val="1"/>
        </w:numPr>
        <w:spacing w:after="90" w:line="264"/>
        <w:jc w:val="both"/>
      </w:pPr>
      <w:r>
        <w:rPr>
          <w:b/>
          <w:bCs/>
        </w:rPr>
        <w:t xml:space="preserve">A working remote-data transport layer.</w:t>
      </w:r>
      <w:r>
        <w:t xml:space="preserve"> ITK-SNAP already loads images and workspaces over Flywheel, SSH, and HTTP, with caching; Aim 2 adds a browsable explorer UI and agent API over that transport, plus DICOM/BIDS-aware organization.</w:t>
      </w:r>
    </w:p>
    <w:p>
      <w:pPr>
        <w:spacing w:after="120" w:line="264"/>
        <w:jc w:val="both"/>
      </w:pPr>
      <w:r>
        <w:t xml:space="preserve">The genuinely new work is therefore concentrated and independently testable — the Python binding, the agent-callable review/command surface, the provenance/audit record, the MCP server, and the explorer UI — with a single larger new subsystem (DICOM-SEG interchange) isolated as a discrete Year-2 deliverable and validated by round-trip against an external tool (e.g. 3D Slicer). The model-improvement loop (milestone 1.3) relies only on mature techniques — supervised fine-tuning on expert-corrected labels and uncertainty-based case routing (active learning) — so it depends on no unproven advance; the novel element is the capture plumbing, which is squarely in the team's competency. This shape — small interfaces over shipped code, continuously validated — is well matched to AI-assisted development within a focused two-year effort.</w:t>
      </w:r>
    </w:p>
    <w:p>
      <w:pPr>
        <w:spacing w:after="120" w:line="264"/>
      </w:pPr>
      <w:r>
        <w:rPr>
          <w:i/>
          <w:iCs/>
          <w:color w:val="777777"/>
        </w:rPr>
        <w:t xml:space="preserve">[Optional: insert the layered-architecture figure here — see Fig. 1.]</w:t>
      </w:r>
    </w:p>
    <w:p>
      <w:pPr>
        <w:pBdr>
          <w:bottom w:val="single" w:color="F79646" w:sz="10" w:space="3"/>
        </w:pBdr>
        <w:spacing w:after="120" w:before="260"/>
      </w:pPr>
      <w:r>
        <w:rPr>
          <w:b/>
          <w:bCs/>
          <w:color w:val="262626"/>
          <w:sz w:val="26"/>
          <w:szCs w:val="26"/>
        </w:rPr>
        <w:t xml:space="preserve">4. Team, governance, and sustainability</w:t>
      </w:r>
    </w:p>
    <w:p>
      <w:pPr>
        <w:spacing w:after="120" w:line="264"/>
        <w:jc w:val="both"/>
      </w:pPr>
      <w:r>
        <w:rPr>
          <w:b/>
          <w:bCs/>
        </w:rPr>
        <w:t xml:space="preserve">Governance.</w:t>
      </w:r>
      <w:r>
        <w:t xml:space="preserve"> </w:t>
      </w:r>
      <w:r>
        <w:rPr>
          <w:i/>
          <w:iCs/>
          <w:color w:val="777777"/>
        </w:rPr>
        <w:t xml:space="preserve">[Articulate the project’s governance and maintainer model: how releases are approved, how external contributions are reviewed and merged, and how maintainership is shared. If no formal document exists, a short public GOVERNANCE/MAINTAINERS statement created before submission would directly address the "open-source quality" review criterion.]</w:t>
      </w:r>
    </w:p>
    <w:p>
      <w:pPr>
        <w:spacing w:after="120" w:line="264"/>
        <w:jc w:val="both"/>
      </w:pPr>
      <w:r>
        <w:rPr>
          <w:b/>
          <w:bCs/>
        </w:rPr>
        <w:t xml:space="preserve">Contributor base and growth.</w:t>
      </w:r>
      <w:r>
        <w:t xml:space="preserve"> Development is currently concentrated in a small core team (the PI and lead developer account for the large majority of commits), within a real ~24-developer lifetime base that includes ITK/ANTs-ecosystem collaborators. </w:t>
      </w:r>
      <w:r>
        <w:rPr>
          <w:b/>
          <w:bCs/>
        </w:rPr>
        <w:t xml:space="preserve">Broadening the active contributor and maintainer base is an explicit objective (Goal 3):</w:t>
      </w:r>
      <w:r>
        <w:t xml:space="preserve"> the contributor hackathon and developer documentation for the new interfaces are designed to lower the barrier to entry, with a concrete target of </w:t>
      </w:r>
      <w:r>
        <w:rPr>
          <w:i/>
          <w:iCs/>
          <w:color w:val="777777"/>
        </w:rPr>
        <w:t xml:space="preserve">[N]</w:t>
      </w:r>
      <w:r>
        <w:t xml:space="preserve"> new external contributors / merged community pull requests.</w:t>
      </w:r>
    </w:p>
    <w:p>
      <w:pPr>
        <w:spacing w:after="120" w:line="264"/>
        <w:jc w:val="both"/>
      </w:pPr>
      <w:r>
        <w:rPr>
          <w:b/>
          <w:bCs/>
        </w:rPr>
        <w:t xml:space="preserve">Sustainability beyond the grant.</w:t>
      </w:r>
      <w:r>
        <w:t xml:space="preserve"> The pip-installable API and MCP server are lightweight, auto-updatable artifacts published to PyPI, with pip-based download metrics for transparent ongoing adoption tracking; the GUI continues on ITK-SNAP's established release and installer channels; and institutional cost-share contributes a portion of the lead maintainer's time, existing CI/test infrastructure, and the mature codebases the work builds on. Together with the contributor-growth activities, this maintains the project's trajectory after the funding period.</w:t>
      </w:r>
    </w:p>
    <w:p>
      <w:pPr>
        <w:pBdr>
          <w:bottom w:val="single" w:color="F79646" w:sz="10" w:space="3"/>
        </w:pBdr>
        <w:spacing w:after="120" w:before="260"/>
      </w:pPr>
      <w:r>
        <w:rPr>
          <w:b/>
          <w:bCs/>
          <w:color w:val="262626"/>
          <w:sz w:val="26"/>
          <w:szCs w:val="26"/>
        </w:rPr>
        <w:t xml:space="preserve">5. Figures and tables</w:t>
      </w:r>
    </w:p>
    <w:p>
      <w:pPr>
        <w:spacing w:after="60"/>
      </w:pPr>
      <w:r>
        <w:rPr>
          <w:b/>
          <w:bCs/>
        </w:rPr>
        <w:t xml:space="preserve">Table 1 — The landscape gap. </w:t>
      </w:r>
      <w:r>
        <w:rPr>
          <w:i/>
          <w:iCs/>
          <w:color w:val="777777"/>
        </w:rPr>
        <w:t xml:space="preserve">Legend: ✓ available today · ◐ partial · ★ delivered by this proposal · ✗ not 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72"/>
        <w:gridCol w:w="1272"/>
        <w:gridCol w:w="1272"/>
        <w:gridCol w:w="1272"/>
        <w:gridCol w:w="1272"/>
      </w:tblGrid>
      <w:tr>
        <w:trPr>
          <w:tblHeader/>
        </w:trPr>
        <w:tc>
          <w:tcPr>
            <w:tcW w:type="dxa" w:w="3000"/>
            <w:shd w:fill="FCE4D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Capability</w:t>
            </w:r>
          </w:p>
        </w:tc>
        <w:tc>
          <w:tcPr>
            <w:tcW w:type="dxa" w:w="1272"/>
            <w:shd w:fill="FCE4D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ITK-SNAP</w:t>
            </w:r>
          </w:p>
        </w:tc>
        <w:tc>
          <w:tcPr>
            <w:tcW w:type="dxa" w:w="1272"/>
            <w:shd w:fill="FCE4D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3D Slicer</w:t>
            </w:r>
          </w:p>
        </w:tc>
        <w:tc>
          <w:tcPr>
            <w:tcW w:type="dxa" w:w="1272"/>
            <w:shd w:fill="FCE4D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MITK</w:t>
            </w:r>
          </w:p>
        </w:tc>
        <w:tc>
          <w:tcPr>
            <w:tcW w:type="dxa" w:w="1272"/>
            <w:shd w:fill="FCE4D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napari</w:t>
            </w:r>
          </w:p>
        </w:tc>
        <w:tc>
          <w:tcPr>
            <w:tcW w:type="dxa" w:w="1272"/>
            <w:shd w:fill="FCE4D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MONAI Label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Established, widely adopted for its audience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✓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✓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✓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✓ (microscopy)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✓ (framework)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Interactive foundation-model segmentation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✓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✓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✓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✓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Remote / cloud data access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✓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✓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◐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◐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Lossless open-format interchange (DICOM-SEG)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79646"/>
                <w:sz w:val="17"/>
                <w:szCs w:val="17"/>
              </w:rPr>
              <w:t xml:space="preserve">★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✓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✓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◐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Agent-callable API for external pipelines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79646"/>
                <w:sz w:val="17"/>
                <w:szCs w:val="17"/>
              </w:rPr>
              <w:t xml:space="preserve">★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◐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✗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◐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◐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Expert review/correction as a callable, resumable, audited pipeline step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79646"/>
                <w:sz w:val="17"/>
                <w:szCs w:val="17"/>
              </w:rPr>
              <w:t xml:space="preserve">★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✗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✗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✗</w:t>
            </w:r>
          </w:p>
        </w:tc>
        <w:tc>
          <w:tcPr>
            <w:tcW w:type="dxa" w:w="12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✗</w:t>
            </w:r>
          </w:p>
        </w:tc>
      </w:tr>
    </w:tbl>
    <w:p>
      <w:pPr>
        <w:spacing w:after="200" w:before="100"/>
      </w:pPr>
      <w:r>
        <w:rPr>
          <w:i/>
          <w:iCs/>
          <w:color w:val="777777"/>
        </w:rPr>
        <w:t xml:space="preserve">No existing tool exposes the bottom-row primitive — competitors keep the human inside their own UI or labeling loop rather than offering expert review as a step an external agent invokes. That gap is this proposal’s core contribution. (Mirrors the LOI Landscape Analysis.)</w:t>
      </w:r>
    </w:p>
    <w:p>
      <w:pPr>
        <w:spacing w:after="40" w:before="60"/>
        <w:jc w:val="center"/>
      </w:pPr>
      <w:r>
        <w:drawing>
          <wp:inline distT="0" distB="0" distL="0" distR="0">
            <wp:extent cx="5905500" cy="148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sz w:val="18"/>
          <w:szCs w:val="18"/>
        </w:rPr>
        <w:t xml:space="preserve">Fig. 1 — Human-in-the-loop workflow (created).</w:t>
      </w:r>
      <w:r>
        <w:rPr>
          <w:sz w:val="18"/>
          <w:szCs w:val="18"/>
        </w:rPr>
        <w:t xml:space="preserve"> Model proposes (itksnap-dls) → the agent's confidence gate flags an uncertain case → control hands to a live ITK-SNAP session where the expert corrects on screen → a structured, audited result returns to the agent.</w:t>
      </w:r>
    </w:p>
    <w:p>
      <w:pPr>
        <w:spacing w:after="40" w:before="60"/>
        <w:jc w:val="center"/>
      </w:pPr>
      <w:r>
        <w:drawing>
          <wp:inline distT="0" distB="0" distL="0" distR="0">
            <wp:extent cx="539115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sz w:val="18"/>
          <w:szCs w:val="18"/>
        </w:rPr>
        <w:t xml:space="preserve">Fig. 2 — System architecture (created).</w:t>
      </w:r>
      <w:r>
        <w:rPr>
          <w:sz w:val="18"/>
          <w:szCs w:val="18"/>
        </w:rPr>
        <w:t xml:space="preserve"> The net-new agent/MCP surface over ITK-SNAP's existing Qt-free core, the itksnap-dls model plane, and the remote/cloud data plane; ★ marks net-new capabilities added within existing components (audit record, DICOM-SEG, explorer).</w:t>
      </w:r>
    </w:p>
    <w:p>
      <w:pPr>
        <w:spacing w:after="40" w:before="60"/>
        <w:jc w:val="center"/>
      </w:pPr>
      <w:r>
        <w:drawing>
          <wp:inline distT="0" distB="0" distL="0" distR="0">
            <wp:extent cx="462915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sz w:val="18"/>
          <w:szCs w:val="18"/>
        </w:rPr>
        <w:t xml:space="preserve">Fig. 3 — ITK-SNAP 4 on a 4D cardiac study (reuse, with attribution).</w:t>
      </w:r>
      <w:r>
        <w:rPr>
          <w:sz w:val="18"/>
          <w:szCs w:val="18"/>
        </w:rPr>
        <w:t xml:space="preserve"> Reproduced from Fig. 1 of Hao et al., FIMH 2025 [ref 2]: 20 time points, with ventricle segmentations across tri-planar and 3D views; grounds ITK-SNAP as a mature, actively developed, natively-4D tool.</w:t>
      </w:r>
    </w:p>
    <w:p>
      <w:pPr>
        <w:spacing w:after="120" w:line="260"/>
      </w:pPr>
      <w:r>
        <w:rPr>
          <w:i/>
          <w:iCs/>
          <w:color w:val="777777"/>
        </w:rPr>
        <w:t xml:space="preserve">All three figures plus the table exceed the 4-page limit — trim before submission (drop or shrink a figure, or lay figures out more compactly).</w:t>
      </w:r>
    </w:p>
    <w:p>
      <w:pPr>
        <w:spacing w:after="120" w:line="260"/>
      </w:pPr>
      <w:r>
        <w:rPr>
          <w:i/>
          <w:iCs/>
          <w:color w:val="777777"/>
        </w:rPr>
        <w:t xml:space="preserve">Export figures at ≥300 dpi; reused paper figures carry a citation to ref 2; keep the whole supporting document to ≤4 pages.</w:t>
      </w:r>
    </w:p>
    <w:p>
      <w:pPr>
        <w:pBdr>
          <w:bottom w:val="single" w:color="F79646" w:sz="10" w:space="3"/>
        </w:pBdr>
        <w:spacing w:after="120" w:before="260"/>
      </w:pPr>
      <w:r>
        <w:rPr>
          <w:b/>
          <w:bCs/>
          <w:color w:val="262626"/>
          <w:sz w:val="26"/>
          <w:szCs w:val="26"/>
        </w:rPr>
        <w:t xml:space="preserve">6. References</w:t>
      </w:r>
    </w:p>
    <w:p>
      <w:pPr>
        <w:spacing w:after="120" w:line="260"/>
      </w:pPr>
      <w:r>
        <w:rPr>
          <w:i/>
          <w:iCs/>
          <w:color w:val="777777"/>
        </w:rPr>
        <w:t xml:space="preserve">[Verify exact citation details before submission.]</w:t>
      </w:r>
    </w:p>
    <w:p>
      <w:pPr>
        <w:spacing w:after="70" w:line="256"/>
        <w:ind w:left="360" w:hanging="360"/>
      </w:pPr>
      <w:r>
        <w:rPr>
          <w:b/>
          <w:bCs/>
        </w:rPr>
        <w:t xml:space="preserve">1. </w:t>
      </w:r>
      <w:r>
        <w:t xml:space="preserve">Yushkevich PA, Piven J, Hazlett HC, Smith RG, Ho S, Gee JC, Gerig G. </w:t>
      </w:r>
      <w:r>
        <w:rPr>
          <w:i/>
          <w:iCs/>
          <w:color w:val="777777"/>
        </w:rPr>
        <w:t xml:space="preserve">User-guided 3D active contour segmentation of anatomical structures: significantly improved efficiency and reliability.</w:t>
      </w:r>
      <w:r>
        <w:t xml:space="preserve"> NeuroImage. 2006;31(3):1116–1128. — ITK-SNAP methods paper (canonical).</w:t>
      </w:r>
    </w:p>
    <w:p>
      <w:pPr>
        <w:spacing w:after="70" w:line="256"/>
        <w:ind w:left="360" w:hanging="360"/>
      </w:pPr>
      <w:r>
        <w:rPr>
          <w:b/>
          <w:bCs/>
        </w:rPr>
        <w:t xml:space="preserve">2. </w:t>
      </w:r>
      <w:r>
        <w:t xml:space="preserve">Hao J, Yushkevich PA, Dong NJ, Amin S, Guo Z, Yushkevich N, Aggarwal A, Pouch AM. </w:t>
      </w:r>
      <w:r>
        <w:rPr>
          <w:i/>
          <w:iCs/>
          <w:color w:val="777777"/>
        </w:rPr>
        <w:t xml:space="preserve">Streamlining 4D Cardiac Image Workflows: Open-Source Tools for Segmentation, Registration, and Visualization.</w:t>
      </w:r>
      <w:r>
        <w:t xml:space="preserve"> Functional Imaging and Modeling of the Heart (FIMH) 2025. </w:t>
      </w:r>
      <w:r>
        <w:rPr>
          <w:i/>
          <w:iCs/>
          <w:color w:val="777777"/>
        </w:rPr>
        <w:t xml:space="preserve">[verify volume/pages/DOI]</w:t>
      </w:r>
      <w:r>
        <w:t xml:space="preserve"> — recent ITK-SNAP 4 paper; source of Fig. 3.</w:t>
      </w:r>
    </w:p>
    <w:p>
      <w:pPr>
        <w:spacing w:after="70" w:line="256"/>
        <w:ind w:left="360" w:hanging="360"/>
      </w:pPr>
      <w:r>
        <w:rPr>
          <w:b/>
          <w:bCs/>
        </w:rPr>
        <w:t xml:space="preserve">3. </w:t>
      </w:r>
      <w:r>
        <w:t xml:space="preserve">Isensee F, Rokuss M, Krämer L, Dinkelacker S, Ravindran A, Stritzke F, et al. </w:t>
      </w:r>
      <w:r>
        <w:rPr>
          <w:i/>
          <w:iCs/>
          <w:color w:val="777777"/>
        </w:rPr>
        <w:t xml:space="preserve">nnInteractive: Redefining 3D Promptable Segmentation.</w:t>
      </w:r>
      <w:r>
        <w:t xml:space="preserve"> arXiv:2503.08373. 2025. — interactive-segmentation foundation model integrated in ITK-SNAP via itksnap-dls.</w:t>
      </w:r>
    </w:p>
    <w:p>
      <w:pPr>
        <w:spacing w:after="70" w:line="256"/>
        <w:ind w:left="360" w:hanging="360"/>
      </w:pPr>
      <w:r>
        <w:rPr>
          <w:b/>
          <w:bCs/>
        </w:rPr>
        <w:t xml:space="preserve">4. </w:t>
      </w:r>
      <w:r>
        <w:t xml:space="preserve">Diaz-Pinto A, Alle S, Ihsani A, Asad M, Nath V, Pérez-García F, et al. </w:t>
      </w:r>
      <w:r>
        <w:rPr>
          <w:i/>
          <w:iCs/>
          <w:color w:val="777777"/>
        </w:rPr>
        <w:t xml:space="preserve">MONAI Label: A framework for AI-assisted interactive labeling of 3D medical images.</w:t>
      </w:r>
      <w:r>
        <w:t xml:space="preserve"> Medical Image Analysis. 2024;95:103207. doi:10.1016/j.media.2024.103207.</w:t>
      </w:r>
    </w:p>
    <w:p>
      <w:pPr>
        <w:spacing w:after="70" w:line="256"/>
        <w:ind w:left="360" w:hanging="360"/>
      </w:pPr>
      <w:r>
        <w:rPr>
          <w:b/>
          <w:bCs/>
        </w:rPr>
        <w:t xml:space="preserve">5. </w:t>
      </w:r>
      <w:r>
        <w:t xml:space="preserve">Wasserthal J, et al. </w:t>
      </w:r>
      <w:r>
        <w:rPr>
          <w:i/>
          <w:iCs/>
          <w:color w:val="777777"/>
        </w:rPr>
        <w:t xml:space="preserve">TotalSegmentator: robust segmentation of anatomical structures in CT images.</w:t>
      </w:r>
      <w:r>
        <w:t xml:space="preserve"> Radiology: Artificial Intelligence. 2023. — </w:t>
      </w:r>
      <w:r>
        <w:rPr>
          <w:i/>
          <w:iCs/>
          <w:color w:val="777777"/>
        </w:rPr>
        <w:t xml:space="preserve">[verify.]</w:t>
      </w:r>
    </w:p>
    <w:p>
      <w:pPr>
        <w:spacing w:after="70" w:line="256"/>
        <w:ind w:left="360" w:hanging="360"/>
      </w:pPr>
      <w:r>
        <w:rPr>
          <w:b/>
          <w:bCs/>
        </w:rPr>
        <w:t xml:space="preserve">6. </w:t>
      </w:r>
      <w:r>
        <w:t xml:space="preserve">Antonelli M, et al. </w:t>
      </w:r>
      <w:r>
        <w:rPr>
          <w:i/>
          <w:iCs/>
          <w:color w:val="777777"/>
        </w:rPr>
        <w:t xml:space="preserve">The Medical Segmentation Decathlon.</w:t>
      </w:r>
      <w:r>
        <w:t xml:space="preserve"> Nature Communications. 2022. — </w:t>
      </w:r>
      <w:r>
        <w:rPr>
          <w:i/>
          <w:iCs/>
          <w:color w:val="777777"/>
        </w:rPr>
        <w:t xml:space="preserve">[verify; hippocampus benchmark, Task 04.]</w:t>
      </w:r>
    </w:p>
    <w:p>
      <w:pPr>
        <w:spacing w:after="70" w:line="256"/>
        <w:ind w:left="360" w:hanging="360"/>
      </w:pPr>
      <w:r>
        <w:rPr>
          <w:b/>
          <w:bCs/>
        </w:rPr>
        <w:t xml:space="preserve">7. </w:t>
      </w:r>
      <w:r>
        <w:t xml:space="preserve">Zhuang X, et al. </w:t>
      </w:r>
      <w:r>
        <w:rPr>
          <w:i/>
          <w:iCs/>
          <w:color w:val="777777"/>
        </w:rPr>
        <w:t xml:space="preserve">Evaluation of algorithms for Multi-Modality Whole Heart Segmentation: an open-access grand challenge (MM-WHS).</w:t>
      </w:r>
      <w:r>
        <w:t xml:space="preserve"> Medical Image Analysis. 2019. — </w:t>
      </w:r>
      <w:r>
        <w:rPr>
          <w:i/>
          <w:iCs/>
          <w:color w:val="777777"/>
        </w:rPr>
        <w:t xml:space="preserve">[verify; cardiac CT benchmark.]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c3151ac02189e85fb67a0426e9ada39c4c02889.png"/><Relationship Id="rId8" Type="http://schemas.openxmlformats.org/officeDocument/2006/relationships/image" Target="media/e2a71d88dddbcdb03082cc3424aba89e7af9f777.png"/><Relationship Id="rId9" Type="http://schemas.openxmlformats.org/officeDocument/2006/relationships/image" Target="media/1d123489fc7f8cbcf5bf5d2c0aaab04dc40bad1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2026-07-14T18:04:51.201Z</dcterms:created>
  <dcterms:modified xsi:type="dcterms:W3CDTF">2026-07-14T18:04:51.205Z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