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票据业务核查报告</w:t>
      </w:r>
    </w:p>
    <w:p>
      <w:r>
        <w:t>测试案例编号：CR-189</w:t>
      </w:r>
    </w:p>
    <w:p>
      <w:r>
        <w:t>报告编号：M-CR-189-R1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系统日志显示测试职员乙完成形式审查，后续复核账号另有其人。</w:t>
      </w:r>
    </w:p>
    <w:p>
      <w:r>
        <w:t>2. 现有材料未提供完整内部规则版本和授权矩阵。</w:t>
      </w:r>
    </w:p>
    <w:p>
      <w:r>
        <w:t>3. 损失统计仅为初步估算，尚未完成回款、担保和责任原因核对。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