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贷款与资金核查报告</w:t>
      </w:r>
    </w:p>
    <w:p>
      <w:r>
        <w:t>测试案例编号：CR-186</w:t>
      </w:r>
    </w:p>
    <w:p>
      <w:r>
        <w:t>报告编号：M-CR-186-R1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系统日志确认测试审批员甲完成终审，岗位矩阵显示其负有审批职责。</w:t>
      </w:r>
    </w:p>
    <w:p>
      <w:r>
        <w:t>2. 借款主体关联关系资料存在版本冲突，当前不能确认终审时已被正确披露。</w:t>
      </w:r>
    </w:p>
    <w:p>
      <w:r>
        <w:t>3. 贷款余额、担保价值和实际损失仍在核对，不能用发放金额直接代替损失。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