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现场检查与就诊记录核查报告</w:t>
      </w:r>
    </w:p>
    <w:p>
      <w:r>
        <w:t>测试案例编号：PS-51</w:t>
      </w:r>
    </w:p>
    <w:p>
      <w:r>
        <w:t>报告编号：M-PS-51-R1</w:t>
      </w:r>
    </w:p>
    <w:p>
      <w:pPr>
        <w:pStyle w:val="Heading1"/>
      </w:pPr>
      <w:r>
        <w:t>一、材料范围</w:t>
      </w:r>
    </w:p>
    <w:p>
      <w:r>
        <w:t>本报告仅汇总本合成测试包内的记录，不代表任何真实机构结论。</w:t>
      </w:r>
    </w:p>
    <w:p>
      <w:pPr>
        <w:pStyle w:val="Heading1"/>
      </w:pPr>
      <w:r>
        <w:t>二、核查记录</w:t>
      </w:r>
    </w:p>
    <w:p>
      <w:r>
        <w:t>1. 检查记录显示测试人员丁存在表浅不适表现。</w:t>
      </w:r>
    </w:p>
    <w:p>
      <w:r>
        <w:t>2. 记录形成时间与陈述事件接近，所述动作与表浅表现具有一般相容性。</w:t>
      </w:r>
    </w:p>
    <w:p>
      <w:r>
        <w:t>3. 未发现能够单独解释该表现的其他已记录原因。</w:t>
      </w:r>
    </w:p>
    <w:p>
      <w:pPr>
        <w:pStyle w:val="Heading1"/>
      </w:pPr>
      <w:r>
        <w:t>三、结论边界</w:t>
      </w:r>
    </w:p>
    <w:p>
      <w:r>
        <w:t>本报告只说明材料中可观察、可核对的事实及其局限，不认定违法犯罪成立，不决定法律适用或者处罚。</w:t>
      </w:r>
    </w:p>
    <w:p>
      <w:r>
        <w:t>测试出具单位：测试记录机构A（测试专用）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