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EF2F6"/>
  <w:body>
    <w:p w14:paraId="0539B68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📡 L2 竞争雷达 · 完整设计文档</w:t>
      </w:r>
    </w:p>
    <w:p w14:paraId="7A3041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6ECF3" w:sz="4" w:space="9"/>
          <w:right w:val="none" w:color="auto" w:sz="0" w:space="0"/>
        </w:pBdr>
        <w:shd w:val="clear" w:fill="FFFFFF"/>
        <w:spacing w:before="0" w:beforeAutospacing="0" w:after="360" w:afterAutospacing="0"/>
        <w:ind w:left="0" w:right="0"/>
        <w:jc w:val="left"/>
        <w:rPr>
          <w:rFonts w:ascii="Segoe UI" w:hAnsi="Segoe UI" w:eastAsia="Segoe UI" w:cs="Segoe UI"/>
          <w:color w:val="4A5B6E"/>
          <w:sz w:val="24"/>
          <w:szCs w:val="24"/>
        </w:rPr>
      </w:pPr>
      <w:r>
        <w:rPr>
          <w:rStyle w:val="12"/>
          <w:rFonts w:hint="default" w:ascii="Segoe UI" w:hAnsi="Segoe UI" w:eastAsia="Segoe UI" w:cs="Segoe UI"/>
          <w:color w:val="4A5B6E"/>
          <w:sz w:val="24"/>
          <w:szCs w:val="24"/>
          <w:bdr w:val="none" w:color="auto" w:sz="0" w:space="0"/>
          <w:shd w:val="clear" w:fill="FFFFFF"/>
        </w:rPr>
        <w:t>Airline CEO Simulator · 交互白板内容规划</w:t>
      </w:r>
      <w:r>
        <w:rPr>
          <w:rFonts w:hint="default" w:ascii="Segoe UI" w:hAnsi="Segoe UI" w:eastAsia="Segoe UI" w:cs="Segoe UI"/>
          <w:color w:val="4A5B6E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color w:val="4A5B6E"/>
          <w:sz w:val="24"/>
          <w:szCs w:val="24"/>
          <w:bdr w:val="none" w:color="auto" w:sz="0" w:space="0"/>
          <w:shd w:val="clear" w:fill="FFFFFF"/>
        </w:rPr>
        <w:t xml:space="preserve">版本：v1.0 ｜ 更新日期：2026-08-10 ｜ 归属：L2 市场销售部 → 竞争雷达 </w:t>
      </w:r>
    </w:p>
    <w:p w14:paraId="4C5FD7E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📄 页面概览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9"/>
        <w:gridCol w:w="7057"/>
      </w:tblGrid>
      <w:tr w14:paraId="578BF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00" w:type="pct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EEF2F7"/>
            <w:tcMar>
              <w:top w:w="180" w:type="dxa"/>
              <w:left w:w="150" w:type="dxa"/>
              <w:bottom w:w="180" w:type="dxa"/>
              <w:right w:w="150" w:type="dxa"/>
            </w:tcMar>
            <w:vAlign w:val="center"/>
          </w:tcPr>
          <w:p w14:paraId="726C3E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  <w:bdr w:val="none" w:color="auto" w:sz="0" w:space="0"/>
              </w:rPr>
              <w:t>属性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EEF2F7"/>
            <w:tcMar>
              <w:top w:w="180" w:type="dxa"/>
              <w:left w:w="150" w:type="dxa"/>
              <w:bottom w:w="180" w:type="dxa"/>
              <w:right w:w="150" w:type="dxa"/>
            </w:tcMar>
            <w:vAlign w:val="center"/>
          </w:tcPr>
          <w:p w14:paraId="21CB4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  <w:bdr w:val="none" w:color="auto" w:sz="0" w:space="0"/>
              </w:rPr>
              <w:t>内容</w:t>
            </w:r>
          </w:p>
        </w:tc>
      </w:tr>
      <w:tr w14:paraId="348E3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E8D46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页面ID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44CD1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3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n49_竞争雷达</w:t>
            </w:r>
          </w:p>
        </w:tc>
      </w:tr>
      <w:tr w14:paraId="23F3F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1FC95F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页面标题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165683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📡 竞争雷达 · 多维对标</w:t>
            </w:r>
          </w:p>
        </w:tc>
      </w:tr>
      <w:tr w14:paraId="54BC4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44A1D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层级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B8CAE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L2</w:t>
            </w:r>
          </w:p>
        </w:tc>
      </w:tr>
      <w:tr w14:paraId="33F74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71E0EB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标签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79308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30"/>
                <w:rFonts w:hint="default" w:ascii="Segoe UI" w:hAnsi="Segoe UI" w:eastAsia="Segoe UI" w:cs="Segoe UI"/>
              </w:rPr>
              <w:t>新建</w:t>
            </w:r>
          </w:p>
        </w:tc>
      </w:tr>
      <w:tr w14:paraId="74B37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6C398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入口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162324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L1 市场销售部 → 点击“竞争雷达”；主页竞争态势微件；L2 航班定价 → 竞对战略动态</w:t>
            </w:r>
          </w:p>
        </w:tc>
      </w:tr>
      <w:tr w14:paraId="51A35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5A86F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定位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054EED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 xml:space="preserve">航空公司竞争情报中心。将竞争从“票价”升级为涵盖 </w:t>
            </w: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7 大维度</w:t>
            </w: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 xml:space="preserve"> 的全面战争，让 CEO 清晰感知我司与竞对在各维度的优劣势，为战略决策提供数据支撑。</w:t>
            </w:r>
          </w:p>
        </w:tc>
      </w:tr>
    </w:tbl>
    <w:p w14:paraId="1AB77E6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📋 功能列表</w:t>
      </w:r>
    </w:p>
    <w:p w14:paraId="4483F5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模块一：顶部 · 竞争态势总览</w:t>
      </w:r>
    </w:p>
    <w:p w14:paraId="4F7431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竞争雷达图（核心视觉）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 xml:space="preserve">：七边形雷达图，展示我司与主要竞对（最多4家）在 </w:t>
      </w: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航线网络 / 定价收益 / 产品服务 / 运营成本 / 辅助收入 / 外部环境 / 战略资本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 xml:space="preserve"> 7 个维度的综合评分对比（0-100分）。我司用亮蓝色高亮，竞对用半透明灰/其他颜色。</w:t>
      </w:r>
    </w:p>
    <w:p w14:paraId="54E29D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综合竞争力排名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：基于雷达图各维度加权计算的总分排名，显示“我司 vs 行业平均 vs 最强竞对”的相对位置。</w:t>
      </w:r>
    </w:p>
    <w:p w14:paraId="45F1D1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竞争态势总评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：AO 生成的一句话态势判断：“您在当前市场处于</w:t>
      </w: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挑战者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地位，领先优势在航线网络，主要威胁来自云翼的定价能力。”</w:t>
      </w:r>
    </w:p>
    <w:p w14:paraId="78D60A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时间轴滑块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：拖动查看过去 12 个月的竞争态势变化趋势（雷达图动画演变）。</w:t>
      </w:r>
    </w:p>
    <w:p w14:paraId="14864FB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模块二：主要竞对卡片（横向 4 张）</w:t>
      </w:r>
    </w:p>
    <w:p w14:paraId="5726C1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竞对 Logo/名称/类型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：如“云翼航空 · 全服务”，显示当前状态（稳态/进攻/防御/垂死）。</w:t>
      </w:r>
    </w:p>
    <w:p w14:paraId="628512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综合得分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：雷达图加权总分。</w:t>
      </w:r>
    </w:p>
    <w:p w14:paraId="532C51C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强项标签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：从雷达图中自动提取最高分维度（如“定价收益”“航线网络”）。</w:t>
      </w:r>
    </w:p>
    <w:p w14:paraId="52FD7B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弱项标签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：从雷达图中自动提取最低分维度（如“辅助收入”）。</w:t>
      </w:r>
    </w:p>
    <w:p w14:paraId="40EBE7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最近动态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：一句话摘要（如“上周在深圳-北京航线降价 8%”）。</w:t>
      </w:r>
    </w:p>
    <w:p w14:paraId="426176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点击卡片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：下钻至 L3 竞对详情页。</w:t>
      </w:r>
    </w:p>
    <w:p w14:paraId="7A72115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模块三：逐维对标分析（7 个 Tab 切换）</w:t>
      </w:r>
    </w:p>
    <w:p w14:paraId="273063A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这是页面的</w:t>
      </w:r>
      <w:r>
        <w:rPr>
          <w:rStyle w:val="12"/>
          <w:rFonts w:hint="default" w:ascii="Segoe UI" w:hAnsi="Segoe UI" w:eastAsia="Segoe UI" w:cs="Segoe UI"/>
          <w:bdr w:val="none" w:color="auto" w:sz="0" w:space="0"/>
          <w:shd w:val="clear" w:fill="FFFFFF"/>
        </w:rPr>
        <w:t>核心分析区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>，采用 Tab 切换展示 7 个竞争维度的详细数据对比：</w:t>
      </w:r>
    </w:p>
    <w:p w14:paraId="58E06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/>
        <w:ind w:left="0" w:right="0"/>
        <w:jc w:val="left"/>
        <w:rPr>
          <w:rFonts w:hint="default" w:ascii="Segoe UI" w:hAnsi="Segoe UI" w:eastAsia="Segoe UI" w:cs="Segoe UI"/>
          <w:color w:val="1A2634"/>
        </w:rPr>
      </w:pPr>
      <w:r>
        <w:rPr>
          <w:rFonts w:hint="default" w:ascii="Segoe UI" w:hAnsi="Segoe UI" w:eastAsia="Segoe UI" w:cs="Segoe UI"/>
          <w:color w:val="1A2634"/>
          <w:sz w:val="24"/>
          <w:szCs w:val="24"/>
          <w:shd w:val="clear" w:fill="FFFFFF"/>
        </w:rPr>
        <w:t xml:space="preserve">✈️ 航线网络 </w:t>
      </w:r>
      <w:r>
        <w:rPr>
          <w:rStyle w:val="31"/>
          <w:rFonts w:hint="default" w:ascii="Segoe UI" w:hAnsi="Segoe UI" w:eastAsia="Segoe UI" w:cs="Segoe UI"/>
        </w:rPr>
        <w:t>💰 定价收益</w:t>
      </w:r>
      <w:r>
        <w:rPr>
          <w:rFonts w:hint="default" w:ascii="Segoe UI" w:hAnsi="Segoe UI" w:eastAsia="Segoe UI" w:cs="Segoe UI"/>
          <w:color w:val="1A2634"/>
          <w:sz w:val="24"/>
          <w:szCs w:val="24"/>
          <w:shd w:val="clear" w:fill="FFFFFF"/>
        </w:rPr>
        <w:t xml:space="preserve"> </w:t>
      </w:r>
      <w:r>
        <w:rPr>
          <w:rStyle w:val="31"/>
          <w:rFonts w:hint="default" w:ascii="Segoe UI" w:hAnsi="Segoe UI" w:eastAsia="Segoe UI" w:cs="Segoe UI"/>
        </w:rPr>
        <w:t>🛋️ 产品服务</w:t>
      </w:r>
      <w:r>
        <w:rPr>
          <w:rFonts w:hint="default" w:ascii="Segoe UI" w:hAnsi="Segoe UI" w:eastAsia="Segoe UI" w:cs="Segoe UI"/>
          <w:color w:val="1A2634"/>
          <w:sz w:val="24"/>
          <w:szCs w:val="24"/>
          <w:shd w:val="clear" w:fill="FFFFFF"/>
        </w:rPr>
        <w:t xml:space="preserve"> </w:t>
      </w:r>
      <w:r>
        <w:rPr>
          <w:rStyle w:val="31"/>
          <w:rFonts w:hint="default" w:ascii="Segoe UI" w:hAnsi="Segoe UI" w:eastAsia="Segoe UI" w:cs="Segoe UI"/>
        </w:rPr>
        <w:t>⚙️ 运营成本</w:t>
      </w:r>
      <w:r>
        <w:rPr>
          <w:rFonts w:hint="default" w:ascii="Segoe UI" w:hAnsi="Segoe UI" w:eastAsia="Segoe UI" w:cs="Segoe UI"/>
          <w:color w:val="1A2634"/>
          <w:sz w:val="24"/>
          <w:szCs w:val="24"/>
          <w:shd w:val="clear" w:fill="FFFFFF"/>
        </w:rPr>
        <w:t xml:space="preserve"> </w:t>
      </w:r>
      <w:r>
        <w:rPr>
          <w:rStyle w:val="31"/>
          <w:rFonts w:hint="default" w:ascii="Segoe UI" w:hAnsi="Segoe UI" w:eastAsia="Segoe UI" w:cs="Segoe UI"/>
        </w:rPr>
        <w:t>💳 辅助收入</w:t>
      </w:r>
      <w:r>
        <w:rPr>
          <w:rFonts w:hint="default" w:ascii="Segoe UI" w:hAnsi="Segoe UI" w:eastAsia="Segoe UI" w:cs="Segoe UI"/>
          <w:color w:val="1A2634"/>
          <w:sz w:val="24"/>
          <w:szCs w:val="24"/>
          <w:shd w:val="clear" w:fill="FFFFFF"/>
        </w:rPr>
        <w:t xml:space="preserve"> </w:t>
      </w:r>
      <w:r>
        <w:rPr>
          <w:rStyle w:val="31"/>
          <w:rFonts w:hint="default" w:ascii="Segoe UI" w:hAnsi="Segoe UI" w:eastAsia="Segoe UI" w:cs="Segoe UI"/>
        </w:rPr>
        <w:t>🚄 外部环境</w:t>
      </w:r>
      <w:r>
        <w:rPr>
          <w:rFonts w:hint="default" w:ascii="Segoe UI" w:hAnsi="Segoe UI" w:eastAsia="Segoe UI" w:cs="Segoe UI"/>
          <w:color w:val="1A2634"/>
          <w:sz w:val="24"/>
          <w:szCs w:val="24"/>
          <w:shd w:val="clear" w:fill="FFFFFF"/>
        </w:rPr>
        <w:t xml:space="preserve"> </w:t>
      </w:r>
      <w:r>
        <w:rPr>
          <w:rStyle w:val="31"/>
          <w:rFonts w:hint="default" w:ascii="Segoe UI" w:hAnsi="Segoe UI" w:eastAsia="Segoe UI" w:cs="Segoe UI"/>
        </w:rPr>
        <w:t>🧠 战略资本</w:t>
      </w:r>
      <w:r>
        <w:rPr>
          <w:rFonts w:hint="default" w:ascii="Segoe UI" w:hAnsi="Segoe UI" w:eastAsia="Segoe UI" w:cs="Segoe UI"/>
          <w:color w:val="1A2634"/>
          <w:sz w:val="24"/>
          <w:szCs w:val="24"/>
          <w:shd w:val="clear" w:fill="FFFFFF"/>
        </w:rPr>
        <w:t xml:space="preserve"> 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1"/>
        <w:gridCol w:w="5484"/>
        <w:gridCol w:w="1401"/>
      </w:tblGrid>
      <w:tr w14:paraId="0FD52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0" w:type="pct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EEF2F7"/>
            <w:tcMar>
              <w:top w:w="180" w:type="dxa"/>
              <w:left w:w="150" w:type="dxa"/>
              <w:bottom w:w="180" w:type="dxa"/>
              <w:right w:w="150" w:type="dxa"/>
            </w:tcMar>
            <w:vAlign w:val="center"/>
          </w:tcPr>
          <w:p w14:paraId="529BB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  <w:bdr w:val="none" w:color="auto" w:sz="0" w:space="0"/>
              </w:rPr>
              <w:t>Tab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EEF2F7"/>
            <w:tcMar>
              <w:top w:w="180" w:type="dxa"/>
              <w:left w:w="150" w:type="dxa"/>
              <w:bottom w:w="180" w:type="dxa"/>
              <w:right w:w="150" w:type="dxa"/>
            </w:tcMar>
            <w:vAlign w:val="center"/>
          </w:tcPr>
          <w:p w14:paraId="5F28D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  <w:bdr w:val="none" w:color="auto" w:sz="0" w:space="0"/>
              </w:rPr>
              <w:t>核心对比内容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EEF2F7"/>
            <w:tcMar>
              <w:top w:w="180" w:type="dxa"/>
              <w:left w:w="150" w:type="dxa"/>
              <w:bottom w:w="180" w:type="dxa"/>
              <w:right w:w="150" w:type="dxa"/>
            </w:tcMar>
            <w:vAlign w:val="center"/>
          </w:tcPr>
          <w:p w14:paraId="53439D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  <w:bdr w:val="none" w:color="auto" w:sz="0" w:space="0"/>
              </w:rPr>
              <w:t>可视化方式</w:t>
            </w:r>
          </w:p>
        </w:tc>
      </w:tr>
      <w:tr w14:paraId="4D4CA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11ECF9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✈️ 航线网络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54B58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我司 vs 竞对的航线总数、覆盖国家/城市数、枢纽数量、独飞航线数、时刻槽持有量、航权数量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29982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柱状图 + 表格</w:t>
            </w:r>
          </w:p>
        </w:tc>
      </w:tr>
      <w:tr w14:paraId="29F85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C9F12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💰 定价收益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0F75A3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我司 vs 竞对的平均票价、客座率、收益率、RASK、CASK、动态定价能力评分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FED5E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柱状图 + 指标卡</w:t>
            </w:r>
          </w:p>
        </w:tc>
      </w:tr>
      <w:tr w14:paraId="74CCC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5467C4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🛋️ 产品服务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13F9AB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我司 vs 竞对的机队平均机龄、座舱配置评分、准点率、航班完成率、常旅客会员数、Skytrax星级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043730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柱状图 + 星级展示</w:t>
            </w:r>
          </w:p>
        </w:tc>
      </w:tr>
      <w:tr w14:paraId="04B01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7984BA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⚙️ 运营成本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15F435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我司 vs 竞对的单位成本（CASK）、燃油效率、飞机日利用率、员工人均产出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D6B4C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柱状图 + 效率指标</w:t>
            </w:r>
          </w:p>
        </w:tc>
      </w:tr>
      <w:tr w14:paraId="3A16E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23D20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💳 辅助收入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50367F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我司 vs 竞对的辅助收入占比、行李费收入、联名卡/里程销售收入、非航收入占比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1B2A4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柱状图 + 占比环形图</w:t>
            </w:r>
          </w:p>
        </w:tc>
      </w:tr>
      <w:tr w14:paraId="12B33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1172A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🚄 外部环境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1CA728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我司 vs 竞对面临的高铁竞争威胁指数、监管风险等级、宏观经济敏感度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DAD2A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热力图 + 评分卡</w:t>
            </w:r>
          </w:p>
        </w:tc>
      </w:tr>
      <w:tr w14:paraId="0C473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6E94BE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🧠 战略资本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829F6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我司 vs 竞对的现金储备、负债率、信用评级、联盟成员等级、并购活跃度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0D5860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柱状图 + 财务指标卡</w:t>
            </w:r>
          </w:p>
        </w:tc>
      </w:tr>
    </w:tbl>
    <w:p w14:paraId="7DD9250F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2"/>
          <w:rFonts w:hint="default" w:ascii="Segoe UI" w:hAnsi="Segoe UI" w:eastAsia="Segoe UI" w:cs="Segoe UI"/>
          <w:bdr w:val="none" w:color="auto" w:sz="0" w:space="0"/>
          <w:shd w:val="clear" w:fill="FFFFFF"/>
        </w:rPr>
        <w:t>每个 Tab 底部操作：</w:t>
      </w:r>
      <w:r>
        <w:rPr>
          <w:rFonts w:hint="default" w:ascii="Segoe UI" w:hAnsi="Segoe UI" w:eastAsia="Segoe UI" w:cs="Segoe UI"/>
          <w:bdr w:val="none" w:color="auto" w:sz="0" w:space="0"/>
          <w:shd w:val="clear" w:fill="FFFFFF"/>
        </w:rPr>
        <w:t xml:space="preserve"> “查看深度分析” → 跳转至对应 L3 子页面； “导出对比报告” → 生成当前维度的对比报告（CSV/PDF）。</w:t>
      </w:r>
    </w:p>
    <w:p w14:paraId="6CE8CD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模块四：竞争事件动态（底部信息流）</w:t>
      </w:r>
    </w:p>
    <w:p w14:paraId="30B53A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实时动态列表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：显示竞对的最新动作（如“云翼航空申请开通北京-伦敦航权”、“青鸾航空在成都-上海航线降价5%”），按时间倒序排列。</w:t>
      </w:r>
    </w:p>
    <w:p w14:paraId="44AEC7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事件类型标签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：标注事件类型（航线扩张 / 价格战 / 联盟合作 / 资本运作 / 安全事件）。</w:t>
      </w:r>
    </w:p>
    <w:p w14:paraId="3F8B92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影响评估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：系统自动标注该事件对我司的影响等级（🔴高 / 🟡中 / 🔵低）。</w:t>
      </w:r>
    </w:p>
    <w:p w14:paraId="61D051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点击事件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：跳转至 L4 事件弹窗，展示应对选项。</w:t>
      </w:r>
    </w:p>
    <w:p w14:paraId="597BCF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模块五：战略建议（AO 智能分析）</w:t>
      </w:r>
    </w:p>
    <w:p w14:paraId="6A1B86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竞争策略建议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：AO 基于雷达图分析，给出 3 条具体建议（如“云翼在深圳-北京持续降价，建议差异化提升服务而非跟进价格战”）。</w:t>
      </w:r>
    </w:p>
    <w:p w14:paraId="7A1862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机会预警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：识别竞对弱项，提示我司可进攻的方向（如“北辰货运辅助收入薄弱，可加大腹舱营销抢占份额”）。</w:t>
      </w:r>
    </w:p>
    <w:p w14:paraId="40324A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72" w:afterAutospacing="0" w:line="20" w:lineRule="atLeast"/>
        <w:ind w:left="0" w:right="0" w:hanging="360"/>
        <w:rPr>
          <w:color w:val="253544"/>
          <w:sz w:val="22"/>
          <w:szCs w:val="22"/>
        </w:rPr>
      </w:pPr>
      <w:r>
        <w:rPr>
          <w:rStyle w:val="12"/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一键执行</w:t>
      </w:r>
      <w:r>
        <w:rPr>
          <w:rFonts w:hint="default" w:ascii="Segoe UI" w:hAnsi="Segoe UI" w:eastAsia="Segoe UI" w:cs="Segoe UI"/>
          <w:color w:val="253544"/>
          <w:sz w:val="22"/>
          <w:szCs w:val="22"/>
          <w:bdr w:val="none" w:color="auto" w:sz="0" w:space="0"/>
          <w:shd w:val="clear" w:fill="FFFFFF"/>
        </w:rPr>
        <w:t>：每条建议底部含跳转按钮（如“去市场部调整定价”、“去战略部申请航权”）。</w:t>
      </w:r>
    </w:p>
    <w:p w14:paraId="5173A28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bdr w:val="none" w:color="auto" w:sz="0" w:space="0"/>
          <w:shd w:val="clear" w:fill="FFFFFF"/>
        </w:rPr>
        <w:t>🔗 本页可点击 → 跳转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2"/>
        <w:gridCol w:w="3442"/>
        <w:gridCol w:w="2582"/>
      </w:tblGrid>
      <w:tr w14:paraId="241FC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00" w:type="pct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EEF2F7"/>
            <w:tcMar>
              <w:top w:w="180" w:type="dxa"/>
              <w:left w:w="150" w:type="dxa"/>
              <w:bottom w:w="180" w:type="dxa"/>
              <w:right w:w="150" w:type="dxa"/>
            </w:tcMar>
            <w:vAlign w:val="center"/>
          </w:tcPr>
          <w:p w14:paraId="5A5277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  <w:bdr w:val="none" w:color="auto" w:sz="0" w:space="0"/>
              </w:rPr>
              <w:t>点击文案</w:t>
            </w:r>
          </w:p>
        </w:tc>
        <w:tc>
          <w:tcPr>
            <w:tcW w:w="2000" w:type="pct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EEF2F7"/>
            <w:tcMar>
              <w:top w:w="180" w:type="dxa"/>
              <w:left w:w="150" w:type="dxa"/>
              <w:bottom w:w="180" w:type="dxa"/>
              <w:right w:w="150" w:type="dxa"/>
            </w:tcMar>
            <w:vAlign w:val="center"/>
          </w:tcPr>
          <w:p w14:paraId="1C544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  <w:bdr w:val="none" w:color="auto" w:sz="0" w:space="0"/>
              </w:rPr>
              <w:t>跳转目标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EEF2F7"/>
            <w:tcMar>
              <w:top w:w="180" w:type="dxa"/>
              <w:left w:w="150" w:type="dxa"/>
              <w:bottom w:w="180" w:type="dxa"/>
              <w:right w:w="150" w:type="dxa"/>
            </w:tcMar>
            <w:vAlign w:val="center"/>
          </w:tcPr>
          <w:p w14:paraId="24C1B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1A2634"/>
                <w:sz w:val="21"/>
                <w:szCs w:val="21"/>
                <w:bdr w:val="none" w:color="auto" w:sz="0" w:space="0"/>
              </w:rPr>
              <w:t>说明</w:t>
            </w:r>
          </w:p>
        </w:tc>
      </w:tr>
      <w:tr w14:paraId="34254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C3258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竞对卡片（任意一张）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42ED2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L3 竞对详情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01EFE3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查看该竞对完整档案</w:t>
            </w:r>
          </w:p>
        </w:tc>
      </w:tr>
      <w:tr w14:paraId="23FFA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5F7190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航线网络 Tab → 查看深度分析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2D6D0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L3 竞争_航线网络对标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6805EF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下钻分析航线网络</w:t>
            </w:r>
          </w:p>
        </w:tc>
      </w:tr>
      <w:tr w14:paraId="24C15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729672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定价收益 Tab → 查看深度分析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6FC904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L2 航班定价（筛选该竞对）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56F83E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跳转定价页面聚焦竞对</w:t>
            </w:r>
          </w:p>
        </w:tc>
      </w:tr>
      <w:tr w14:paraId="5A918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1BD3CC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产品服务 Tab → 查看深度分析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57FBBE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L3 竞争_产品服务对标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80E08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下钻分析服务对比</w:t>
            </w:r>
          </w:p>
        </w:tc>
      </w:tr>
      <w:tr w14:paraId="144E3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705180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运营成本 Tab → 查看深度分析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56EA5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L3 竞争_运营成本对标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3D43D2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下钻分析成本对比</w:t>
            </w:r>
          </w:p>
        </w:tc>
      </w:tr>
      <w:tr w14:paraId="65A9B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588A1B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辅助收入 Tab → 查看深度分析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5E4165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L3 辅助收入管理（对比模式）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6AF1AA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跳转辅助收入对比</w:t>
            </w:r>
          </w:p>
        </w:tc>
      </w:tr>
      <w:tr w14:paraId="29AC2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3168EE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外部环境 Tab → 查看深度分析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60BF83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L3 竞争_外部环境分析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505615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下钻分析高铁/监管</w:t>
            </w:r>
          </w:p>
        </w:tc>
      </w:tr>
      <w:tr w14:paraId="50622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7E3B0E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战略资本 Tab → 查看深度分析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6B6DB4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L3 竞争_战略资本对标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099A84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下钻分析资本对比</w:t>
            </w:r>
          </w:p>
        </w:tc>
      </w:tr>
      <w:tr w14:paraId="46CD2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795AA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竞争事件动态条目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1AE806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L4 事件弹窗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3A3B1A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显示应对选项</w:t>
            </w:r>
          </w:p>
        </w:tc>
      </w:tr>
      <w:tr w14:paraId="3E25B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5D352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AO 建议 → 去市场部调整定价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42DBD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L2 航班定价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768A66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直接跳转执行</w:t>
            </w:r>
          </w:p>
        </w:tc>
      </w:tr>
      <w:tr w14:paraId="636AE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1B8F1E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AO 建议 → 去战略部申请航权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525B79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L1 战略发展部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247D43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直接跳转执行</w:t>
            </w:r>
          </w:p>
        </w:tc>
      </w:tr>
      <w:tr w14:paraId="0994D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00FD62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← 返回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1EF415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L1 市场销售部</w:t>
            </w:r>
          </w:p>
        </w:tc>
        <w:tc>
          <w:tcPr>
            <w:tcW w:w="0" w:type="auto"/>
            <w:tcBorders>
              <w:top w:val="single" w:color="D8E0E8" w:sz="4" w:space="0"/>
              <w:left w:val="single" w:color="D8E0E8" w:sz="4" w:space="0"/>
              <w:bottom w:val="single" w:color="D8E0E8" w:sz="4" w:space="0"/>
              <w:right w:val="single" w:color="D8E0E8" w:sz="4" w:space="0"/>
            </w:tcBorders>
            <w:shd w:val="clear" w:color="auto" w:fill="FFFFFF"/>
            <w:tcMar>
              <w:top w:w="180" w:type="dxa"/>
              <w:left w:w="150" w:type="dxa"/>
              <w:bottom w:w="180" w:type="dxa"/>
              <w:right w:w="150" w:type="dxa"/>
            </w:tcMar>
            <w:vAlign w:val="top"/>
          </w:tcPr>
          <w:p w14:paraId="42AB5C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Segoe UI" w:hAnsi="Segoe UI" w:eastAsia="Segoe UI" w:cs="Segoe UI"/>
                <w:color w:val="1A2634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color w:val="1A2634"/>
                <w:sz w:val="21"/>
                <w:szCs w:val="21"/>
                <w:bdr w:val="none" w:color="auto" w:sz="0" w:space="0"/>
              </w:rPr>
              <w:t>返回上级</w:t>
            </w:r>
          </w:p>
        </w:tc>
      </w:tr>
    </w:tbl>
    <w:p w14:paraId="71AD64B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9F09FD9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default" w:ascii="Segoe UI" w:hAnsi="Segoe UI" w:eastAsia="Segoe UI" w:cs="Segoe UI"/>
          <w:color w:val="6A7E94"/>
          <w:sz w:val="21"/>
          <w:szCs w:val="21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875F9"/>
    <w:multiLevelType w:val="multilevel"/>
    <w:tmpl w:val="863875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D617FC4"/>
    <w:multiLevelType w:val="multilevel"/>
    <w:tmpl w:val="2D617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53229AA"/>
    <w:multiLevelType w:val="multilevel"/>
    <w:tmpl w:val="75322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A2957F0"/>
    <w:multiLevelType w:val="multilevel"/>
    <w:tmpl w:val="7A295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E4AA7"/>
    <w:rsid w:val="457B57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left w:val="single" w:color="1A5CFF" w:sz="24" w:space="10"/>
      </w:pBdr>
      <w:spacing w:before="0" w:beforeAutospacing="1" w:after="96" w:afterAutospacing="0"/>
      <w:jc w:val="left"/>
    </w:pPr>
    <w:rPr>
      <w:rFonts w:hint="eastAsia" w:ascii="宋体" w:hAnsi="宋体" w:eastAsia="宋体" w:cs="宋体"/>
      <w:b/>
      <w:bCs/>
      <w:color w:val="0B1A3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E6ECF3" w:sz="12" w:space="4"/>
      </w:pBdr>
      <w:spacing w:before="480" w:beforeAutospacing="0" w:after="192" w:afterAutospacing="0"/>
      <w:ind w:left="0" w:right="0"/>
      <w:jc w:val="left"/>
    </w:pPr>
    <w:rPr>
      <w:rFonts w:hint="eastAsia" w:ascii="宋体" w:hAnsi="宋体" w:eastAsia="宋体" w:cs="宋体"/>
      <w:b/>
      <w:bCs/>
      <w:color w:val="0B1A33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36" w:beforeAutospacing="0" w:after="144" w:afterAutospacing="0"/>
      <w:ind w:left="0" w:right="0"/>
      <w:jc w:val="left"/>
    </w:pPr>
    <w:rPr>
      <w:rFonts w:hint="eastAsia" w:ascii="宋体" w:hAnsi="宋体" w:eastAsia="宋体" w:cs="宋体"/>
      <w:b/>
      <w:bCs/>
      <w:color w:val="1A2C44"/>
      <w:kern w:val="0"/>
      <w:sz w:val="30"/>
      <w:szCs w:val="30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96" w:afterAutospacing="0"/>
      <w:ind w:left="0" w:right="0"/>
      <w:jc w:val="left"/>
    </w:pPr>
    <w:rPr>
      <w:rFonts w:hint="eastAsia" w:ascii="宋体" w:hAnsi="宋体" w:eastAsia="宋体" w:cs="宋体"/>
      <w:b/>
      <w:bCs/>
      <w:color w:val="2A3F5A"/>
      <w:kern w:val="0"/>
      <w:sz w:val="27"/>
      <w:szCs w:val="27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 w:line="20" w:lineRule="atLeast"/>
      <w:ind w:left="0" w:right="0"/>
      <w:jc w:val="left"/>
    </w:pPr>
    <w:rPr>
      <w:color w:val="253544"/>
      <w:kern w:val="0"/>
      <w:sz w:val="22"/>
      <w:szCs w:val="22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paragraph" w:customStyle="1" w:styleId="14">
    <w:name w:val="footer-note"/>
    <w:basedOn w:val="1"/>
    <w:uiPriority w:val="0"/>
    <w:pPr>
      <w:pBdr>
        <w:top w:val="single" w:color="E0E7EF" w:sz="4" w:space="12"/>
      </w:pBdr>
      <w:spacing w:before="480" w:beforeAutospacing="0"/>
      <w:jc w:val="center"/>
    </w:pPr>
    <w:rPr>
      <w:color w:val="6A7E94"/>
      <w:kern w:val="0"/>
      <w:sz w:val="21"/>
      <w:szCs w:val="21"/>
      <w:lang w:val="en-US" w:eastAsia="zh-CN" w:bidi="ar"/>
    </w:rPr>
  </w:style>
  <w:style w:type="paragraph" w:customStyle="1" w:styleId="15">
    <w:name w:val="subhead"/>
    <w:basedOn w:val="1"/>
    <w:uiPriority w:val="0"/>
    <w:pPr>
      <w:pBdr>
        <w:left w:val="none" w:color="auto" w:sz="0" w:space="0"/>
        <w:bottom w:val="single" w:color="E6ECF3" w:sz="4" w:space="9"/>
      </w:pBdr>
      <w:spacing w:after="360" w:afterAutospacing="0"/>
      <w:jc w:val="left"/>
    </w:pPr>
    <w:rPr>
      <w:color w:val="4A5B6E"/>
      <w:kern w:val="0"/>
      <w:sz w:val="24"/>
      <w:szCs w:val="24"/>
      <w:lang w:val="en-US" w:eastAsia="zh-CN" w:bidi="ar"/>
    </w:rPr>
  </w:style>
  <w:style w:type="paragraph" w:customStyle="1" w:styleId="16">
    <w:name w:val="num"/>
    <w:basedOn w:val="1"/>
    <w:uiPriority w:val="0"/>
    <w:pPr>
      <w:jc w:val="left"/>
    </w:pPr>
    <w:rPr>
      <w:b/>
      <w:bCs/>
      <w:color w:val="0B1A33"/>
      <w:kern w:val="0"/>
      <w:sz w:val="33"/>
      <w:szCs w:val="33"/>
      <w:lang w:val="en-US" w:eastAsia="zh-CN" w:bidi="ar"/>
    </w:rPr>
  </w:style>
  <w:style w:type="paragraph" w:customStyle="1" w:styleId="17">
    <w:name w:val="bad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A5CFF"/>
      <w:ind w:right="72"/>
      <w:jc w:val="left"/>
    </w:pPr>
    <w:rPr>
      <w:b/>
      <w:bCs/>
      <w:color w:val="FFFFFF"/>
      <w:kern w:val="0"/>
      <w:sz w:val="18"/>
      <w:szCs w:val="18"/>
      <w:lang w:val="en-US" w:eastAsia="zh-CN" w:bidi="ar"/>
    </w:rPr>
  </w:style>
  <w:style w:type="paragraph" w:customStyle="1" w:styleId="18">
    <w:name w:val="grid-2col"/>
    <w:basedOn w:val="1"/>
    <w:uiPriority w:val="0"/>
    <w:pPr>
      <w:spacing w:before="12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9">
    <w:name w:val="contain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0">
    <w:name w:val="btn-downloa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A5CFF"/>
      <w:spacing w:before="360" w:beforeAutospacing="0"/>
      <w:jc w:val="left"/>
    </w:pPr>
    <w:rPr>
      <w:b/>
      <w:bCs/>
      <w:color w:val="FFFFFF"/>
      <w:kern w:val="0"/>
      <w:sz w:val="27"/>
      <w:szCs w:val="27"/>
      <w:u w:val="none"/>
      <w:lang w:val="en-US" w:eastAsia="zh-CN" w:bidi="ar"/>
    </w:rPr>
  </w:style>
  <w:style w:type="paragraph" w:customStyle="1" w:styleId="21">
    <w:name w:val="highlight-box"/>
    <w:basedOn w:val="1"/>
    <w:uiPriority w:val="0"/>
    <w:pPr>
      <w:pBdr>
        <w:top w:val="none" w:color="auto" w:sz="0" w:space="0"/>
        <w:left w:val="single" w:color="1A5CFF" w:sz="18" w:space="13"/>
        <w:bottom w:val="none" w:color="auto" w:sz="0" w:space="0"/>
        <w:right w:val="none" w:color="auto" w:sz="0" w:space="0"/>
      </w:pBdr>
      <w:shd w:val="clear" w:fill="F8FAFF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2">
    <w:name w:val="tab-item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2F7"/>
      <w:jc w:val="left"/>
    </w:pPr>
    <w:rPr>
      <w:b/>
      <w:bCs/>
      <w:color w:val="1A2C44"/>
      <w:kern w:val="0"/>
      <w:sz w:val="19"/>
      <w:szCs w:val="19"/>
      <w:lang w:val="en-US" w:eastAsia="zh-CN" w:bidi="ar"/>
    </w:rPr>
  </w:style>
  <w:style w:type="paragraph" w:customStyle="1" w:styleId="23">
    <w:name w:val="tab-list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4">
    <w:name w:val="kpi-mini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AFF"/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5">
    <w:name w:val="badge-red"/>
    <w:basedOn w:val="1"/>
    <w:uiPriority w:val="0"/>
    <w:pPr>
      <w:shd w:val="clear" w:fill="C73E3E"/>
      <w:jc w:val="left"/>
    </w:pPr>
    <w:rPr>
      <w:kern w:val="0"/>
      <w:lang w:val="en-US" w:eastAsia="zh-CN" w:bidi="ar"/>
    </w:rPr>
  </w:style>
  <w:style w:type="paragraph" w:customStyle="1" w:styleId="26">
    <w:name w:val="label"/>
    <w:basedOn w:val="1"/>
    <w:uiPriority w:val="0"/>
    <w:pPr>
      <w:jc w:val="left"/>
    </w:pPr>
    <w:rPr>
      <w:color w:val="6A7E94"/>
      <w:kern w:val="0"/>
      <w:sz w:val="18"/>
      <w:szCs w:val="18"/>
      <w:lang w:val="en-US" w:eastAsia="zh-CN" w:bidi="ar"/>
    </w:rPr>
  </w:style>
  <w:style w:type="paragraph" w:customStyle="1" w:styleId="27">
    <w:name w:val="badge-green"/>
    <w:basedOn w:val="1"/>
    <w:uiPriority w:val="0"/>
    <w:pPr>
      <w:shd w:val="clear" w:fill="1B8C4A"/>
      <w:jc w:val="left"/>
    </w:pPr>
    <w:rPr>
      <w:kern w:val="0"/>
      <w:lang w:val="en-US" w:eastAsia="zh-CN" w:bidi="ar"/>
    </w:rPr>
  </w:style>
  <w:style w:type="paragraph" w:customStyle="1" w:styleId="28">
    <w:name w:val="badge-orange"/>
    <w:basedOn w:val="1"/>
    <w:uiPriority w:val="0"/>
    <w:pPr>
      <w:shd w:val="clear" w:fill="E68A2E"/>
      <w:jc w:val="left"/>
    </w:pPr>
    <w:rPr>
      <w:kern w:val="0"/>
      <w:lang w:val="en-US" w:eastAsia="zh-CN" w:bidi="ar"/>
    </w:rPr>
  </w:style>
  <w:style w:type="paragraph" w:customStyle="1" w:styleId="29">
    <w:name w:val="badge-gray"/>
    <w:basedOn w:val="1"/>
    <w:uiPriority w:val="0"/>
    <w:pPr>
      <w:shd w:val="clear" w:fill="6A7E94"/>
      <w:jc w:val="left"/>
    </w:pPr>
    <w:rPr>
      <w:kern w:val="0"/>
      <w:lang w:val="en-US" w:eastAsia="zh-CN" w:bidi="ar"/>
    </w:rPr>
  </w:style>
  <w:style w:type="character" w:customStyle="1" w:styleId="30">
    <w:name w:val="badge1"/>
    <w:basedOn w:val="11"/>
    <w:uiPriority w:val="0"/>
    <w:rPr>
      <w:b/>
      <w:bCs/>
      <w:color w:val="FFFFFF"/>
      <w:sz w:val="18"/>
      <w:szCs w:val="18"/>
      <w:bdr w:val="none" w:color="auto" w:sz="0" w:space="0"/>
      <w:shd w:val="clear" w:fill="1A5CFF"/>
    </w:rPr>
  </w:style>
  <w:style w:type="character" w:customStyle="1" w:styleId="31">
    <w:name w:val="tab-item1"/>
    <w:basedOn w:val="11"/>
    <w:uiPriority w:val="0"/>
    <w:rPr>
      <w:b/>
      <w:bCs/>
      <w:color w:val="1A2C44"/>
      <w:sz w:val="19"/>
      <w:szCs w:val="19"/>
      <w:bdr w:val="none" w:color="auto" w:sz="0" w:space="0"/>
      <w:shd w:val="clear" w:fill="EEF2F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787</Words>
  <Characters>849</Characters>
  <TotalTime>7</TotalTime>
  <ScaleCrop>false</ScaleCrop>
  <LinksUpToDate>false</LinksUpToDate>
  <CharactersWithSpaces>939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2026-08-10T00:16:47Z</dcterms:created>
  <dc:creator>jiliy</dc:creator>
  <cp:lastModifiedBy>格萨</cp:lastModifiedBy>
  <dcterms:modified xsi:type="dcterms:W3CDTF">2026-08-10T00:25:23Z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F18D986AFC25411BB1B875B83A3320DC_13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