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B2C655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L3 收益管理仪表盘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3"/>
        <w:gridCol w:w="8597"/>
      </w:tblGrid>
      <w:tr w14:paraId="6D5D8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A7C1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2B58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58CA3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207D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页面ID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B04B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n47_收益管理仪表盘</w:t>
            </w:r>
          </w:p>
        </w:tc>
      </w:tr>
      <w:tr w14:paraId="70943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9DAB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页面标题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8644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📈 收益管理仪表盘</w:t>
            </w:r>
          </w:p>
        </w:tc>
      </w:tr>
      <w:tr w14:paraId="4A7C4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D51F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1E35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L3</w:t>
            </w:r>
          </w:p>
        </w:tc>
      </w:tr>
      <w:tr w14:paraId="70EA1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F78B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F291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L2 航班定价 → 点击任意核心 KPI</w:t>
            </w:r>
          </w:p>
        </w:tc>
      </w:tr>
    </w:tbl>
    <w:p w14:paraId="56720835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功能列表：</w:t>
      </w:r>
    </w:p>
    <w:p w14:paraId="572082F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客座率趋势图（近30天/90天，按航线/区域筛选）</w:t>
      </w:r>
    </w:p>
    <w:p w14:paraId="4ADA114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收益率趋势图（近30天/90天）</w:t>
      </w:r>
    </w:p>
    <w:p w14:paraId="2D383D6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RASK vs CASM 对比图（显示差距，绿色为盈利区间）</w:t>
      </w:r>
    </w:p>
    <w:p w14:paraId="37160DA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航线收益排行（与 L1 市场部联动）</w:t>
      </w:r>
    </w:p>
    <w:p w14:paraId="261DC81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按区域/机型/航线类型下钻分析</w:t>
      </w:r>
    </w:p>
    <w:p w14:paraId="7F57FFF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导出报表（CSV/PDF）</w:t>
      </w:r>
      <w:bookmarkStart w:id="0" w:name="_GoBack"/>
      <w:bookmarkEnd w:id="0"/>
    </w:p>
    <w:p w14:paraId="386BDB38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点击跳转：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66"/>
        <w:gridCol w:w="5814"/>
      </w:tblGrid>
      <w:tr w14:paraId="44513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1169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点击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F849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跳转</w:t>
            </w:r>
          </w:p>
        </w:tc>
      </w:tr>
      <w:tr w14:paraId="40F208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15ED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航线收益排行行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1B76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L2 航线收益分析</w:t>
            </w:r>
          </w:p>
        </w:tc>
      </w:tr>
      <w:tr w14:paraId="5FEAA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1F0B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← 返回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BEF1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L2 航班定价</w:t>
            </w:r>
          </w:p>
        </w:tc>
      </w:tr>
    </w:tbl>
    <w:p w14:paraId="1D937FF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F52E48"/>
    <w:rsid w:val="1DF5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2026-08-09T14:05:00Z</dcterms:created>
  <dc:creator>格萨</dc:creator>
  <cp:lastModifiedBy>格萨</cp:lastModifiedBy>
  <dcterms:modified xsi:type="dcterms:W3CDTF">2026-08-09T14:06:18Z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5C2B6E2230A446BBA52D58D07D481D72_11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