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0EB354">
      <w:pPr>
        <w:pStyle w:val="2"/>
        <w:keepNext w:val="0"/>
        <w:keepLines w:val="0"/>
        <w:widowControl/>
        <w:suppressLineNumbers w:val="0"/>
        <w:pBdr>
          <w:bottom w:val="single" w:color="E6EDF5" w:sz="18" w:space="0"/>
        </w:pBdr>
        <w:ind w:lef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B1E33"/>
          <w:spacing w:val="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1E33"/>
          <w:spacing w:val="4"/>
        </w:rPr>
        <w:t>缺失内容</w:t>
      </w:r>
    </w:p>
    <w:p w14:paraId="28790C0E">
      <w:pPr>
        <w:keepNext w:val="0"/>
        <w:keepLines w:val="0"/>
        <w:widowControl/>
        <w:suppressLineNumbers w:val="0"/>
        <w:pBdr>
          <w:bottom w:val="single" w:color="EEF2F6" w:sz="12" w:space="0"/>
        </w:pBdr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2"/>
          <w:kern w:val="0"/>
          <w:sz w:val="27"/>
          <w:szCs w:val="27"/>
          <w:bdr w:val="none" w:color="auto" w:sz="0" w:space="0"/>
          <w:lang w:val="en-US" w:eastAsia="zh-CN" w:bidi="ar"/>
        </w:rPr>
        <w:t>2.1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地面服务与延误赔偿的完整设计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33636"/>
          <w:spacing w:val="4"/>
          <w:kern w:val="0"/>
          <w:sz w:val="27"/>
          <w:szCs w:val="27"/>
          <w:shd w:val="clear" w:fill="FDE7E7"/>
          <w:lang w:val="en-US" w:eastAsia="zh-CN" w:bidi="ar"/>
        </w:rPr>
        <w:t>高优先级</w:t>
      </w:r>
    </w:p>
    <w:p w14:paraId="11C26CD0">
      <w:pPr>
        <w:keepNext w:val="0"/>
        <w:keepLines w:val="0"/>
        <w:widowControl/>
        <w:suppressLineNumbers w:val="0"/>
        <w:pBdr>
          <w:left w:val="single" w:color="CBD5E1" w:sz="18" w:space="0"/>
        </w:pBdr>
        <w:shd w:val="clear" w:fill="F9FA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E3A5F"/>
          <w:spacing w:val="0"/>
          <w:kern w:val="0"/>
          <w:sz w:val="27"/>
          <w:szCs w:val="27"/>
          <w:bdr w:val="none" w:color="auto" w:sz="0" w:space="0"/>
          <w:shd w:val="clear" w:fill="F9FAFC"/>
          <w:lang w:val="en-US" w:eastAsia="zh-CN" w:bidi="ar"/>
        </w:rPr>
        <w:t>📌 问题所在</w:t>
      </w:r>
    </w:p>
    <w:p w14:paraId="0754F2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7"/>
          <w:szCs w:val="27"/>
          <w:bdr w:val="none" w:color="auto" w:sz="0" w:space="0"/>
          <w:shd w:val="clear" w:fill="F9FAFC"/>
        </w:rPr>
        <w:t>第13.3节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 新增了"地面服务管理"和"延误赔偿系统"，但：</w:t>
      </w:r>
    </w:p>
    <w:p w14:paraId="30D8DA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地面服务的成本模型未定义（自营地</w:t>
      </w: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服 vs 第三方地服的具体成本差异）</w:t>
      </w:r>
    </w:p>
    <w:p w14:paraId="1D40AA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延误赔偿系统只给出了赔偿比例，但赔偿金从哪个预算科目支出未说明（运营预算？还是单独的风险准备金？）</w:t>
      </w:r>
    </w:p>
    <w:p w14:paraId="727DBF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大面积延误的连锁影响未定义（如"单季利润归零"是直接扣减利润，还是通过增加成本实现？）</w:t>
      </w:r>
    </w:p>
    <w:p w14:paraId="3D6D1A32">
      <w:pPr>
        <w:keepNext w:val="0"/>
        <w:keepLines w:val="0"/>
        <w:widowControl/>
        <w:suppressLineNumbers w:val="0"/>
        <w:pBdr>
          <w:left w:val="single" w:color="2A6B9C" w:sz="18" w:space="0"/>
        </w:pBdr>
        <w:shd w:val="clear" w:fill="F2F6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0"/>
          <w:kern w:val="0"/>
          <w:sz w:val="27"/>
          <w:szCs w:val="27"/>
          <w:bdr w:val="none" w:color="auto" w:sz="0" w:space="0"/>
          <w:shd w:val="clear" w:fill="F2F6FC"/>
          <w:lang w:val="en-US" w:eastAsia="zh-CN" w:bidi="ar"/>
        </w:rPr>
        <w:t>🔧 建议</w:t>
      </w:r>
    </w:p>
    <w:p w14:paraId="662F2A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  <w:rPr>
          <w:color w:val="1E3A5F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增加「13.6 地面服务与延误赔偿计算模型」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，定义：</w:t>
      </w:r>
    </w:p>
    <w:p w14:paraId="686A7E09">
      <w:pPr>
        <w:keepNext w:val="0"/>
        <w:keepLines w:val="0"/>
        <w:widowControl/>
        <w:suppressLineNumbers w:val="0"/>
        <w:pBdr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6A85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自营地服：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固定成本（人员工资 + 设备折旧）+ 变动成本（每架次服务费）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A6A85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第三方地服：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按架次收费，可谈判折扣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A6A85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延误赔偿金：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直接从当月运营收入中扣除，影响净利润</w:t>
      </w:r>
    </w:p>
    <w:p w14:paraId="4B75E2C7">
      <w:pPr>
        <w:keepNext w:val="0"/>
        <w:keepLines w:val="0"/>
        <w:widowControl/>
        <w:suppressLineNumbers w:val="0"/>
        <w:pBdr>
          <w:bottom w:val="single" w:color="EEF2F6" w:sz="12" w:space="0"/>
        </w:pBdr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2"/>
          <w:kern w:val="0"/>
          <w:sz w:val="27"/>
          <w:szCs w:val="27"/>
          <w:bdr w:val="none" w:color="auto" w:sz="0" w:space="0"/>
          <w:lang w:val="en-US" w:eastAsia="zh-CN" w:bidi="ar"/>
        </w:rPr>
        <w:t>2.2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货运业务的完整设计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33636"/>
          <w:spacing w:val="4"/>
          <w:kern w:val="0"/>
          <w:sz w:val="27"/>
          <w:szCs w:val="27"/>
          <w:shd w:val="clear" w:fill="FDE7E7"/>
          <w:lang w:val="en-US" w:eastAsia="zh-CN" w:bidi="ar"/>
        </w:rPr>
        <w:t>高优先级</w:t>
      </w:r>
    </w:p>
    <w:p w14:paraId="57256831">
      <w:pPr>
        <w:keepNext w:val="0"/>
        <w:keepLines w:val="0"/>
        <w:widowControl/>
        <w:suppressLineNumbers w:val="0"/>
        <w:pBdr>
          <w:left w:val="single" w:color="CBD5E1" w:sz="18" w:space="0"/>
        </w:pBdr>
        <w:shd w:val="clear" w:fill="F9FA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E3A5F"/>
          <w:spacing w:val="0"/>
          <w:kern w:val="0"/>
          <w:sz w:val="27"/>
          <w:szCs w:val="27"/>
          <w:bdr w:val="none" w:color="auto" w:sz="0" w:space="0"/>
          <w:shd w:val="clear" w:fill="F9FAFC"/>
          <w:lang w:val="en-US" w:eastAsia="zh-CN" w:bidi="ar"/>
        </w:rPr>
        <w:t>📌 问题所在</w:t>
      </w:r>
    </w:p>
    <w:p w14:paraId="40738F6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7"/>
          <w:szCs w:val="27"/>
          <w:bdr w:val="none" w:color="auto" w:sz="0" w:space="0"/>
          <w:shd w:val="clear" w:fill="F9FAFC"/>
        </w:rPr>
        <w:t>第14章 市场销售部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 中，阶段6提到"货运业务管理（腹舱/纯货机/快递合作伙伴）"，但：</w:t>
      </w:r>
    </w:p>
    <w:p w14:paraId="1C14954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货运业务没有独立的KPI</w:t>
      </w:r>
    </w:p>
    <w:p w14:paraId="1931C6A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货运收益与客运收益的核算方式未区分（腹舱货运是边际收益还是分摊成本？）</w:t>
      </w:r>
    </w:p>
    <w:p w14:paraId="001E937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纯货机运营（如B777F）的独立经济模型缺失（货机折旧、货站操作费、货物保险等）</w:t>
      </w:r>
    </w:p>
    <w:p w14:paraId="08670C9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7"/>
          <w:szCs w:val="27"/>
          <w:bdr w:val="none" w:color="auto" w:sz="0" w:space="0"/>
          <w:shd w:val="clear" w:fill="F9FAFC"/>
        </w:rPr>
        <w:t>第24章 联动矩阵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 中"货运管理"行提到"腹舱/货机装载、MNT（货机维护）"，但没有量化指标</w:t>
      </w:r>
    </w:p>
    <w:p w14:paraId="72207256">
      <w:pPr>
        <w:keepNext w:val="0"/>
        <w:keepLines w:val="0"/>
        <w:widowControl/>
        <w:suppressLineNumbers w:val="0"/>
        <w:pBdr>
          <w:left w:val="single" w:color="2A6B9C" w:sz="18" w:space="0"/>
        </w:pBdr>
        <w:shd w:val="clear" w:fill="F2F6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0"/>
          <w:kern w:val="0"/>
          <w:sz w:val="27"/>
          <w:szCs w:val="27"/>
          <w:bdr w:val="none" w:color="auto" w:sz="0" w:space="0"/>
          <w:shd w:val="clear" w:fill="F2F6FC"/>
          <w:lang w:val="en-US" w:eastAsia="zh-CN" w:bidi="ar"/>
        </w:rPr>
        <w:t>🔧 建议</w:t>
      </w:r>
    </w:p>
    <w:p w14:paraId="017697D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  <w:rPr>
          <w:color w:val="1E3A5F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在第14章增加「14.6 货运业务独立核算模型」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：</w:t>
      </w:r>
    </w:p>
    <w:p w14:paraId="51276A22">
      <w:pPr>
        <w:keepNext w:val="0"/>
        <w:keepLines w:val="0"/>
        <w:widowControl/>
        <w:suppressLineNumbers w:val="0"/>
        <w:pBdr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6A85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腹舱货运：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边际收益 = 货运收入 − 新增燃油成本（可忽略）− 装卸成本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A6A85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纯货机：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独立成本中心，需单独计算盈亏</w:t>
      </w:r>
    </w:p>
    <w:p w14:paraId="467451C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  <w:rPr>
          <w:color w:val="1E3A5F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增加货运KPI：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腹舱利用率（%）、货机日利用率、货运吨公里收入</w:t>
      </w:r>
    </w:p>
    <w:p w14:paraId="300A92EE">
      <w:pPr>
        <w:keepNext w:val="0"/>
        <w:keepLines w:val="0"/>
        <w:widowControl/>
        <w:suppressLineNumbers w:val="0"/>
        <w:pBdr>
          <w:bottom w:val="single" w:color="EEF2F6" w:sz="12" w:space="0"/>
        </w:pBdr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2"/>
          <w:kern w:val="0"/>
          <w:sz w:val="27"/>
          <w:szCs w:val="27"/>
          <w:bdr w:val="none" w:color="auto" w:sz="0" w:space="0"/>
          <w:lang w:val="en-US" w:eastAsia="zh-CN" w:bidi="ar"/>
        </w:rPr>
        <w:t>2.3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税务系统的具体计算方式缺失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2681A"/>
          <w:spacing w:val="4"/>
          <w:kern w:val="0"/>
          <w:sz w:val="27"/>
          <w:szCs w:val="27"/>
          <w:shd w:val="clear" w:fill="FFF0D6"/>
          <w:lang w:val="en-US" w:eastAsia="zh-CN" w:bidi="ar"/>
        </w:rPr>
        <w:t>中优先级</w:t>
      </w:r>
    </w:p>
    <w:p w14:paraId="4B0EAD4F">
      <w:pPr>
        <w:keepNext w:val="0"/>
        <w:keepLines w:val="0"/>
        <w:widowControl/>
        <w:suppressLineNumbers w:val="0"/>
        <w:pBdr>
          <w:left w:val="single" w:color="CBD5E1" w:sz="18" w:space="0"/>
        </w:pBdr>
        <w:shd w:val="clear" w:fill="F9FA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E3A5F"/>
          <w:spacing w:val="0"/>
          <w:kern w:val="0"/>
          <w:sz w:val="27"/>
          <w:szCs w:val="27"/>
          <w:bdr w:val="none" w:color="auto" w:sz="0" w:space="0"/>
          <w:shd w:val="clear" w:fill="F9FAFC"/>
          <w:lang w:val="en-US" w:eastAsia="zh-CN" w:bidi="ar"/>
        </w:rPr>
        <w:t>📌 问题所在</w:t>
      </w:r>
    </w:p>
    <w:p w14:paraId="2C2EAEB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7"/>
          <w:szCs w:val="27"/>
          <w:bdr w:val="none" w:color="auto" w:sz="0" w:space="0"/>
          <w:shd w:val="clear" w:fill="F9FAFC"/>
        </w:rPr>
        <w:t>第15.4节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 提到"跨国税务：不同国家企业所得税、预提税差异"，但：</w:t>
      </w:r>
    </w:p>
    <w:p w14:paraId="6AB8E63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企业所得税率在不同国家的具体数值未定义（至少需要主要市场的税率表）</w:t>
      </w:r>
    </w:p>
    <w:p w14:paraId="2A13A2C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"转移定价被调查风险"的触发条件和后果未说明</w:t>
      </w:r>
    </w:p>
    <w:p w14:paraId="7F99546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税务优化（如爱尔兰租赁公司架构）的具体操作流程缺失</w:t>
      </w:r>
    </w:p>
    <w:p w14:paraId="399D4526">
      <w:pPr>
        <w:keepNext w:val="0"/>
        <w:keepLines w:val="0"/>
        <w:widowControl/>
        <w:suppressLineNumbers w:val="0"/>
        <w:pBdr>
          <w:left w:val="single" w:color="2A6B9C" w:sz="18" w:space="0"/>
        </w:pBdr>
        <w:shd w:val="clear" w:fill="F2F6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0"/>
          <w:kern w:val="0"/>
          <w:sz w:val="27"/>
          <w:szCs w:val="27"/>
          <w:bdr w:val="none" w:color="auto" w:sz="0" w:space="0"/>
          <w:shd w:val="clear" w:fill="F2F6FC"/>
          <w:lang w:val="en-US" w:eastAsia="zh-CN" w:bidi="ar"/>
        </w:rPr>
        <w:t>🔧 建议</w:t>
      </w:r>
    </w:p>
    <w:p w14:paraId="6C02E63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  <w:rPr>
          <w:color w:val="1E3A5F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在第15章增加「15.10 税务系统计算规则」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：</w:t>
      </w:r>
    </w:p>
    <w:p w14:paraId="21D22231">
      <w:pPr>
        <w:keepNext w:val="0"/>
        <w:keepLines w:val="0"/>
        <w:widowControl/>
        <w:suppressLineNumbers w:val="0"/>
        <w:pBdr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6A85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全球主要市场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（中国、美国、欧盟、中东、东南亚）的企业所得税率表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A6A85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税务优化策略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的"可执行性评分"（由财务部负责人能力影响）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A6A85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转移定价调查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的触发概率（取决于税务优化激进程度和合规投入）</w:t>
      </w:r>
    </w:p>
    <w:p w14:paraId="1398DFBD">
      <w:pPr>
        <w:keepNext w:val="0"/>
        <w:keepLines w:val="0"/>
        <w:widowControl/>
        <w:suppressLineNumbers w:val="0"/>
        <w:pBdr>
          <w:bottom w:val="single" w:color="EEF2F6" w:sz="12" w:space="0"/>
        </w:pBdr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2"/>
          <w:kern w:val="0"/>
          <w:sz w:val="27"/>
          <w:szCs w:val="27"/>
          <w:bdr w:val="none" w:color="auto" w:sz="0" w:space="0"/>
          <w:lang w:val="en-US" w:eastAsia="zh-CN" w:bidi="ar"/>
        </w:rPr>
        <w:t>2.4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保险市场的设计缺失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2681A"/>
          <w:spacing w:val="4"/>
          <w:kern w:val="0"/>
          <w:sz w:val="27"/>
          <w:szCs w:val="27"/>
          <w:shd w:val="clear" w:fill="FFF0D6"/>
          <w:lang w:val="en-US" w:eastAsia="zh-CN" w:bidi="ar"/>
        </w:rPr>
        <w:t>中优先级</w:t>
      </w:r>
    </w:p>
    <w:p w14:paraId="298358B4">
      <w:pPr>
        <w:keepNext w:val="0"/>
        <w:keepLines w:val="0"/>
        <w:widowControl/>
        <w:suppressLineNumbers w:val="0"/>
        <w:pBdr>
          <w:left w:val="single" w:color="CBD5E1" w:sz="18" w:space="0"/>
        </w:pBdr>
        <w:shd w:val="clear" w:fill="F9FA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E3A5F"/>
          <w:spacing w:val="0"/>
          <w:kern w:val="0"/>
          <w:sz w:val="27"/>
          <w:szCs w:val="27"/>
          <w:bdr w:val="none" w:color="auto" w:sz="0" w:space="0"/>
          <w:shd w:val="clear" w:fill="F9FAFC"/>
          <w:lang w:val="en-US" w:eastAsia="zh-CN" w:bidi="ar"/>
        </w:rPr>
        <w:t>📌 问题所在</w:t>
      </w:r>
    </w:p>
    <w:p w14:paraId="2389264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7"/>
          <w:szCs w:val="27"/>
          <w:bdr w:val="none" w:color="auto" w:sz="0" w:space="0"/>
          <w:shd w:val="clear" w:fill="F9FAFC"/>
        </w:rPr>
        <w:t>第33章 "内容资产规范"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 中涉及保险，但：</w:t>
      </w:r>
    </w:p>
    <w:p w14:paraId="77B6BA2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航空保险（机身险、责任险、战争险）的成本模型未定义</w:t>
      </w:r>
    </w:p>
    <w:p w14:paraId="52DF6DC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保险费率与安全评级、机队规模、机龄的联动关系未说明</w:t>
      </w:r>
    </w:p>
    <w:p w14:paraId="758287A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保险理赔流程（如事故后保险公司赔付的时间和金额）未设计</w:t>
      </w:r>
    </w:p>
    <w:p w14:paraId="79C6F4B4">
      <w:pPr>
        <w:keepNext w:val="0"/>
        <w:keepLines w:val="0"/>
        <w:widowControl/>
        <w:suppressLineNumbers w:val="0"/>
        <w:pBdr>
          <w:left w:val="single" w:color="2A6B9C" w:sz="18" w:space="0"/>
        </w:pBdr>
        <w:shd w:val="clear" w:fill="F2F6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0"/>
          <w:kern w:val="0"/>
          <w:sz w:val="27"/>
          <w:szCs w:val="27"/>
          <w:bdr w:val="none" w:color="auto" w:sz="0" w:space="0"/>
          <w:shd w:val="clear" w:fill="F2F6FC"/>
          <w:lang w:val="en-US" w:eastAsia="zh-CN" w:bidi="ar"/>
        </w:rPr>
        <w:t>🔧 建议</w:t>
      </w:r>
    </w:p>
    <w:p w14:paraId="2CE22A6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color w:val="1E3A5F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在第十五章财务部中增加「15.11 航空保险管理」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：</w:t>
      </w:r>
    </w:p>
    <w:p w14:paraId="7E65C1F8">
      <w:pPr>
        <w:keepNext w:val="0"/>
        <w:keepLines w:val="0"/>
        <w:widowControl/>
        <w:suppressLineNumbers w:val="0"/>
        <w:pBdr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6A85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保险年费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 = 机队总价值的 X%（受安全评级影响，A级安全评级可降低费率）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A6A85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事故后保险赔付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：轻微事故 → 1个月赔付50%；重大事故 → 6个月后赔付80%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A6A85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保险覆盖范围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的选择（全险 vs 基本险 vs 自保）</w:t>
      </w:r>
    </w:p>
    <w:p w14:paraId="521C76B8">
      <w:pPr>
        <w:keepNext w:val="0"/>
        <w:keepLines w:val="0"/>
        <w:widowControl/>
        <w:suppressLineNumbers w:val="0"/>
        <w:pBdr>
          <w:bottom w:val="single" w:color="EEF2F6" w:sz="12" w:space="0"/>
        </w:pBdr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2"/>
          <w:kern w:val="0"/>
          <w:sz w:val="27"/>
          <w:szCs w:val="27"/>
          <w:bdr w:val="none" w:color="auto" w:sz="0" w:space="0"/>
          <w:lang w:val="en-US" w:eastAsia="zh-CN" w:bidi="ar"/>
        </w:rPr>
        <w:t>2.5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历史回放与"What-If分支"的交互细节缺失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2681A"/>
          <w:spacing w:val="4"/>
          <w:kern w:val="0"/>
          <w:sz w:val="27"/>
          <w:szCs w:val="27"/>
          <w:shd w:val="clear" w:fill="FFF0D6"/>
          <w:lang w:val="en-US" w:eastAsia="zh-CN" w:bidi="ar"/>
        </w:rPr>
        <w:t>中优先级</w:t>
      </w:r>
    </w:p>
    <w:p w14:paraId="1E913E86">
      <w:pPr>
        <w:keepNext w:val="0"/>
        <w:keepLines w:val="0"/>
        <w:widowControl/>
        <w:suppressLineNumbers w:val="0"/>
        <w:pBdr>
          <w:left w:val="single" w:color="CBD5E1" w:sz="18" w:space="0"/>
        </w:pBdr>
        <w:shd w:val="clear" w:fill="F9FA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E3A5F"/>
          <w:spacing w:val="0"/>
          <w:kern w:val="0"/>
          <w:sz w:val="27"/>
          <w:szCs w:val="27"/>
          <w:bdr w:val="none" w:color="auto" w:sz="0" w:space="0"/>
          <w:shd w:val="clear" w:fill="F9FAFC"/>
          <w:lang w:val="en-US" w:eastAsia="zh-CN" w:bidi="ar"/>
        </w:rPr>
        <w:t>📌 问题所在</w:t>
      </w:r>
    </w:p>
    <w:p w14:paraId="7E7BCAB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7"/>
          <w:szCs w:val="27"/>
          <w:bdr w:val="none" w:color="auto" w:sz="0" w:space="0"/>
          <w:shd w:val="clear" w:fill="F9FAFC"/>
        </w:rPr>
        <w:t>第26.3节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 提到"历史回放"和"What-If分支"，但：</w:t>
      </w:r>
    </w:p>
    <w:p w14:paraId="02AD2F9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分支存档的存储策略未定义（每个分支是独立文件还是增量存储？）</w:t>
      </w:r>
    </w:p>
    <w:p w14:paraId="2C7AEF8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分支存档与主存档的关系未定义（分支决策后是否可以重新合并到主线？）</w:t>
      </w:r>
    </w:p>
    <w:p w14:paraId="4EBEA38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历史回放的UI未设计（时间轴如何展示？能否快进/跳转？）</w:t>
      </w:r>
    </w:p>
    <w:p w14:paraId="7E7E9CDB">
      <w:pPr>
        <w:keepNext w:val="0"/>
        <w:keepLines w:val="0"/>
        <w:widowControl/>
        <w:suppressLineNumbers w:val="0"/>
        <w:pBdr>
          <w:left w:val="single" w:color="2A6B9C" w:sz="18" w:space="0"/>
        </w:pBdr>
        <w:shd w:val="clear" w:fill="F2F6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0"/>
          <w:kern w:val="0"/>
          <w:sz w:val="27"/>
          <w:szCs w:val="27"/>
          <w:bdr w:val="none" w:color="auto" w:sz="0" w:space="0"/>
          <w:shd w:val="clear" w:fill="F2F6FC"/>
          <w:lang w:val="en-US" w:eastAsia="zh-CN" w:bidi="ar"/>
        </w:rPr>
        <w:t>🔧 建议</w:t>
      </w:r>
    </w:p>
    <w:p w14:paraId="6635379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  <w:rPr>
          <w:color w:val="1E3A5F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在第26章增加「26.4 历史回放交互规范」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：</w:t>
      </w:r>
    </w:p>
    <w:p w14:paraId="3A02A997">
      <w:pPr>
        <w:keepNext w:val="0"/>
        <w:keepLines w:val="0"/>
        <w:widowControl/>
        <w:suppressLineNumbers w:val="0"/>
        <w:pBdr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6A85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分支存档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使用"差分存储"（只存储与主线的差异部分）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A6A85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分支存档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独立于主线，不能重新合并（避免时间线混乱）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A6A85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UI设计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：时间轴展示关键决策节点，点击节点可查看当时的游戏状态</w:t>
      </w:r>
    </w:p>
    <w:p w14:paraId="6A05B7B4">
      <w:pPr>
        <w:keepNext w:val="0"/>
        <w:keepLines w:val="0"/>
        <w:widowControl/>
        <w:suppressLineNumbers w:val="0"/>
        <w:pBdr>
          <w:bottom w:val="single" w:color="EEF2F6" w:sz="12" w:space="0"/>
        </w:pBdr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2"/>
          <w:kern w:val="0"/>
          <w:sz w:val="27"/>
          <w:szCs w:val="27"/>
          <w:bdr w:val="none" w:color="auto" w:sz="0" w:space="0"/>
          <w:lang w:val="en-US" w:eastAsia="zh-CN" w:bidi="ar"/>
        </w:rPr>
        <w:t>2.6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Mod支持的具体技术接口缺失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B2681A"/>
          <w:spacing w:val="4"/>
          <w:kern w:val="0"/>
          <w:sz w:val="27"/>
          <w:szCs w:val="27"/>
          <w:shd w:val="clear" w:fill="FFF0D6"/>
          <w:lang w:val="en-US" w:eastAsia="zh-CN" w:bidi="ar"/>
        </w:rPr>
        <w:t>中优先级</w:t>
      </w:r>
    </w:p>
    <w:p w14:paraId="17E25AB0">
      <w:pPr>
        <w:keepNext w:val="0"/>
        <w:keepLines w:val="0"/>
        <w:widowControl/>
        <w:suppressLineNumbers w:val="0"/>
        <w:pBdr>
          <w:left w:val="single" w:color="CBD5E1" w:sz="18" w:space="0"/>
        </w:pBdr>
        <w:shd w:val="clear" w:fill="F9FA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E3A5F"/>
          <w:spacing w:val="0"/>
          <w:kern w:val="0"/>
          <w:sz w:val="27"/>
          <w:szCs w:val="27"/>
          <w:bdr w:val="none" w:color="auto" w:sz="0" w:space="0"/>
          <w:shd w:val="clear" w:fill="F9FAFC"/>
          <w:lang w:val="en-US" w:eastAsia="zh-CN" w:bidi="ar"/>
        </w:rPr>
        <w:t>📌 问题所在</w:t>
      </w:r>
    </w:p>
    <w:p w14:paraId="6773DED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7"/>
          <w:szCs w:val="27"/>
          <w:bdr w:val="none" w:color="auto" w:sz="0" w:space="0"/>
          <w:shd w:val="clear" w:fill="F9FAFC"/>
        </w:rPr>
        <w:t>第36章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 详细描述了Mod支持的策略和工具包，但：</w:t>
      </w:r>
    </w:p>
    <w:p w14:paraId="4E9A534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Lua脚本接口的具体API未定义（Modder能调用哪些游戏内函数？）</w:t>
      </w:r>
    </w:p>
    <w:p w14:paraId="365B2BA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JSON数据文件的字段说明未提供（新增角色需要哪些必填字段？）</w:t>
      </w:r>
    </w:p>
    <w:p w14:paraId="7D0C084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Mod冲突检测的具体规则未说明（两个Mod修改了同一个数据文件时，如何合并？）</w:t>
      </w:r>
    </w:p>
    <w:p w14:paraId="0DDC4899">
      <w:pPr>
        <w:keepNext w:val="0"/>
        <w:keepLines w:val="0"/>
        <w:widowControl/>
        <w:suppressLineNumbers w:val="0"/>
        <w:pBdr>
          <w:left w:val="single" w:color="2A6B9C" w:sz="18" w:space="0"/>
        </w:pBdr>
        <w:shd w:val="clear" w:fill="F2F6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0"/>
          <w:kern w:val="0"/>
          <w:sz w:val="27"/>
          <w:szCs w:val="27"/>
          <w:bdr w:val="none" w:color="auto" w:sz="0" w:space="0"/>
          <w:shd w:val="clear" w:fill="F2F6FC"/>
          <w:lang w:val="en-US" w:eastAsia="zh-CN" w:bidi="ar"/>
        </w:rPr>
        <w:t>🔧 建议</w:t>
      </w:r>
    </w:p>
    <w:p w14:paraId="6B63CE3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0" w:hanging="360"/>
        <w:rPr>
          <w:color w:val="1E3A5F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在正式开发阶段，需提供：</w:t>
      </w:r>
    </w:p>
    <w:p w14:paraId="39038C42">
      <w:pPr>
        <w:keepNext w:val="0"/>
        <w:keepLines w:val="0"/>
        <w:widowControl/>
        <w:suppressLineNumbers w:val="0"/>
        <w:pBdr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6A85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完整的 JSON Schema 文档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（定义每个数据文件的结构和必填字段）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A6A85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Lua API 参考手册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（列出所有可调用的游戏函数和事件钩子）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A6A85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Mod冲突解决策略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：按加载顺序覆盖（后加载的Mod覆盖先加载的），并在游戏启动时显示冲突警告</w:t>
      </w:r>
    </w:p>
    <w:p w14:paraId="5531EC55">
      <w:pPr>
        <w:keepNext w:val="0"/>
        <w:keepLines w:val="0"/>
        <w:widowControl/>
        <w:suppressLineNumbers w:val="0"/>
        <w:pBdr>
          <w:bottom w:val="single" w:color="EEF2F6" w:sz="12" w:space="0"/>
        </w:pBdr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2"/>
          <w:kern w:val="0"/>
          <w:sz w:val="27"/>
          <w:szCs w:val="27"/>
          <w:bdr w:val="none" w:color="auto" w:sz="0" w:space="0"/>
          <w:lang w:val="en-US" w:eastAsia="zh-CN" w:bidi="ar"/>
        </w:rPr>
        <w:t>2.7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可任命部门的"跨部门人才"机制未展开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E6B3E"/>
          <w:spacing w:val="4"/>
          <w:kern w:val="0"/>
          <w:sz w:val="27"/>
          <w:szCs w:val="27"/>
          <w:shd w:val="clear" w:fill="E7F0E7"/>
          <w:lang w:val="en-US" w:eastAsia="zh-CN" w:bidi="ar"/>
        </w:rPr>
        <w:t>低优先级</w:t>
      </w:r>
    </w:p>
    <w:p w14:paraId="19588F51">
      <w:pPr>
        <w:keepNext w:val="0"/>
        <w:keepLines w:val="0"/>
        <w:widowControl/>
        <w:suppressLineNumbers w:val="0"/>
        <w:pBdr>
          <w:left w:val="single" w:color="CBD5E1" w:sz="18" w:space="0"/>
        </w:pBdr>
        <w:shd w:val="clear" w:fill="F9FA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E3A5F"/>
          <w:spacing w:val="0"/>
          <w:kern w:val="0"/>
          <w:sz w:val="27"/>
          <w:szCs w:val="27"/>
          <w:bdr w:val="none" w:color="auto" w:sz="0" w:space="0"/>
          <w:shd w:val="clear" w:fill="F9FAFC"/>
          <w:lang w:val="en-US" w:eastAsia="zh-CN" w:bidi="ar"/>
        </w:rPr>
        <w:t>📌 问题所在</w:t>
      </w:r>
    </w:p>
    <w:p w14:paraId="2A8CC97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7"/>
          <w:szCs w:val="27"/>
          <w:bdr w:val="none" w:color="auto" w:sz="0" w:space="0"/>
          <w:shd w:val="clear" w:fill="F9FAFC"/>
        </w:rPr>
        <w:t>第12.3.1节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 的"可任命部门"字段提到"该角色可任职的部门（多数为1个，少数为跨部门人才）"，但在第11章的所有候选人数据中，没有明确指出哪位候选人是"跨部门人才"，也没有说明跨部门人才在不同部门任职时效率是否有差异。</w:t>
      </w:r>
    </w:p>
    <w:p w14:paraId="576D7950">
      <w:pPr>
        <w:keepNext w:val="0"/>
        <w:keepLines w:val="0"/>
        <w:widowControl/>
        <w:suppressLineNumbers w:val="0"/>
        <w:pBdr>
          <w:left w:val="single" w:color="2A6B9C" w:sz="18" w:space="0"/>
        </w:pBdr>
        <w:shd w:val="clear" w:fill="F2F6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0"/>
          <w:kern w:val="0"/>
          <w:sz w:val="27"/>
          <w:szCs w:val="27"/>
          <w:bdr w:val="none" w:color="auto" w:sz="0" w:space="0"/>
          <w:shd w:val="clear" w:fill="F2F6FC"/>
          <w:lang w:val="en-US" w:eastAsia="zh-CN" w:bidi="ar"/>
        </w:rPr>
        <w:t>🔧 建议</w:t>
      </w:r>
    </w:p>
    <w:p w14:paraId="66D1FE4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0" w:hanging="360"/>
        <w:rPr>
          <w:color w:val="1E3A5F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在候选人数据中增加"可任命部门"字段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，并标记跨部门人才。</w:t>
      </w:r>
    </w:p>
    <w:p w14:paraId="646D384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0" w:hanging="360"/>
        <w:rPr>
          <w:color w:val="1E3A5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例如：</w:t>
      </w:r>
      <w:r>
        <w:rPr>
          <w:rFonts w:ascii="Consolas" w:hAnsi="Consolas" w:eastAsia="Consolas" w:cs="Consolas"/>
          <w:i w:val="0"/>
          <w:iCs w:val="0"/>
          <w:caps w:val="0"/>
          <w:color w:val="1A3A5C"/>
          <w:spacing w:val="0"/>
          <w:sz w:val="27"/>
          <w:szCs w:val="27"/>
          <w:shd w:val="clear" w:fill="EEF2F6"/>
        </w:rPr>
        <w:t>OPS-08 霍内·图帕伊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（太平洋岛屿航线、节油航行技术）可能也适合MKT部门（海岛旅游营销）。</w:t>
      </w:r>
    </w:p>
    <w:p w14:paraId="556580F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0" w:hanging="360"/>
        <w:rPr>
          <w:color w:val="1E3A5F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跨部门人才在不同部门任职时，能力评分乘以0.8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（部门不匹配惩罚）。</w:t>
      </w:r>
    </w:p>
    <w:p w14:paraId="504BF0BB">
      <w:pPr>
        <w:keepNext w:val="0"/>
        <w:keepLines w:val="0"/>
        <w:widowControl/>
        <w:suppressLineNumbers w:val="0"/>
        <w:pBdr>
          <w:bottom w:val="single" w:color="EEF2F6" w:sz="12" w:space="0"/>
        </w:pBdr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2"/>
          <w:kern w:val="0"/>
          <w:sz w:val="27"/>
          <w:szCs w:val="27"/>
          <w:bdr w:val="none" w:color="auto" w:sz="0" w:space="0"/>
          <w:lang w:val="en-US" w:eastAsia="zh-CN" w:bidi="ar"/>
        </w:rPr>
        <w:t>2.8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B2A44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非航收入的具体解锁条件和投资回报模型缺失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E6B3E"/>
          <w:spacing w:val="4"/>
          <w:kern w:val="0"/>
          <w:sz w:val="27"/>
          <w:szCs w:val="27"/>
          <w:shd w:val="clear" w:fill="E7F0E7"/>
          <w:lang w:val="en-US" w:eastAsia="zh-CN" w:bidi="ar"/>
        </w:rPr>
        <w:t>低优先级</w:t>
      </w:r>
    </w:p>
    <w:p w14:paraId="6CDA0FFC">
      <w:pPr>
        <w:keepNext w:val="0"/>
        <w:keepLines w:val="0"/>
        <w:widowControl/>
        <w:suppressLineNumbers w:val="0"/>
        <w:pBdr>
          <w:left w:val="single" w:color="CBD5E1" w:sz="18" w:space="0"/>
        </w:pBdr>
        <w:shd w:val="clear" w:fill="F9FA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E3A5F"/>
          <w:spacing w:val="0"/>
          <w:kern w:val="0"/>
          <w:sz w:val="27"/>
          <w:szCs w:val="27"/>
          <w:bdr w:val="none" w:color="auto" w:sz="0" w:space="0"/>
          <w:shd w:val="clear" w:fill="F9FAFC"/>
          <w:lang w:val="en-US" w:eastAsia="zh-CN" w:bidi="ar"/>
        </w:rPr>
        <w:t>📌 问题所在</w:t>
      </w:r>
    </w:p>
    <w:p w14:paraId="2156C1A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B2A44"/>
          <w:spacing w:val="0"/>
          <w:sz w:val="27"/>
          <w:szCs w:val="27"/>
          <w:bdr w:val="none" w:color="auto" w:sz="0" w:space="0"/>
          <w:shd w:val="clear" w:fill="F9FAFC"/>
        </w:rPr>
        <w:t>第26.2节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 提到"解锁条件：枢纽旅客吞吐量达到一定规模后，自动解锁商业开发选项"，但：</w:t>
      </w:r>
    </w:p>
    <w:p w14:paraId="46FB71F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具体的吞吐量阈值未定义</w:t>
      </w:r>
    </w:p>
    <w:p w14:paraId="29EFD34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投资回报周期"3~5年"过于粗略</w:t>
      </w:r>
    </w:p>
    <w:p w14:paraId="404DE9F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0" w:hanging="360"/>
        <w:rPr>
          <w:color w:val="2C3E5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  <w:shd w:val="clear" w:fill="F9FAFC"/>
        </w:rPr>
        <w:t>非航收入的具体构成（免税店租金 vs 广告位 vs 贵宾厅收入 vs 货运站租赁）没有分别的贡献模型</w:t>
      </w:r>
    </w:p>
    <w:p w14:paraId="33D6E82D">
      <w:pPr>
        <w:keepNext w:val="0"/>
        <w:keepLines w:val="0"/>
        <w:widowControl/>
        <w:suppressLineNumbers w:val="0"/>
        <w:pBdr>
          <w:left w:val="single" w:color="2A6B9C" w:sz="18" w:space="0"/>
        </w:pBdr>
        <w:shd w:val="clear" w:fill="F2F6FC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A3A5C"/>
          <w:spacing w:val="0"/>
          <w:kern w:val="0"/>
          <w:sz w:val="27"/>
          <w:szCs w:val="27"/>
          <w:bdr w:val="none" w:color="auto" w:sz="0" w:space="0"/>
          <w:shd w:val="clear" w:fill="F2F6FC"/>
          <w:lang w:val="en-US" w:eastAsia="zh-CN" w:bidi="ar"/>
        </w:rPr>
        <w:t>🔧 建议</w:t>
      </w:r>
    </w:p>
    <w:p w14:paraId="01D26DE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0" w:hanging="360"/>
        <w:rPr>
          <w:color w:val="1E3A5F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在第26章增加「26.2.1 非航收入计算模型」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sz w:val="27"/>
          <w:szCs w:val="27"/>
          <w:bdr w:val="none" w:color="auto" w:sz="0" w:space="0"/>
          <w:shd w:val="clear" w:fill="F2F6FC"/>
        </w:rPr>
        <w:t>：</w:t>
      </w:r>
    </w:p>
    <w:p w14:paraId="66EAA31D">
      <w:pPr>
        <w:keepNext w:val="0"/>
        <w:keepLines w:val="0"/>
        <w:widowControl/>
        <w:suppressLineNumbers w:val="0"/>
        <w:pBdr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E293B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6A85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解锁条件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：枢纽年吞吐量 ≥ 500万人次（小型）/ 1000万人次（中型）/ 3000万人次（大型）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A6A85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投资选项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：商业区扩建（投资额5000万~5亿），回报率6%~12%/年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A6A85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收入构成比例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3A5F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：免税店40% · 广告20% · 贵宾厅20% · 货运站租赁20%</w:t>
      </w:r>
    </w:p>
    <w:p w14:paraId="2C41F32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DD368A"/>
    <w:multiLevelType w:val="multilevel"/>
    <w:tmpl w:val="A2DD36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ABC843F8"/>
    <w:multiLevelType w:val="multilevel"/>
    <w:tmpl w:val="ABC843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AC379A9F"/>
    <w:multiLevelType w:val="multilevel"/>
    <w:tmpl w:val="AC379A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AED77AB2"/>
    <w:multiLevelType w:val="multilevel"/>
    <w:tmpl w:val="AED77A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AF671726"/>
    <w:multiLevelType w:val="multilevel"/>
    <w:tmpl w:val="AF6717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B02718E2"/>
    <w:multiLevelType w:val="multilevel"/>
    <w:tmpl w:val="B02718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B922B788"/>
    <w:multiLevelType w:val="multilevel"/>
    <w:tmpl w:val="B922B7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BB106DF2"/>
    <w:multiLevelType w:val="multilevel"/>
    <w:tmpl w:val="BB106D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DB303E65"/>
    <w:multiLevelType w:val="multilevel"/>
    <w:tmpl w:val="DB303E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E908E33A"/>
    <w:multiLevelType w:val="multilevel"/>
    <w:tmpl w:val="E908E3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013E1625"/>
    <w:multiLevelType w:val="multilevel"/>
    <w:tmpl w:val="013E16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0FBEEE31"/>
    <w:multiLevelType w:val="multilevel"/>
    <w:tmpl w:val="0FBEEE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3795C318"/>
    <w:multiLevelType w:val="multilevel"/>
    <w:tmpl w:val="3795C3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44A62642"/>
    <w:multiLevelType w:val="multilevel"/>
    <w:tmpl w:val="44A626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4DACF118"/>
    <w:multiLevelType w:val="multilevel"/>
    <w:tmpl w:val="4DACF1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6C50EE2C"/>
    <w:multiLevelType w:val="multilevel"/>
    <w:tmpl w:val="6C50EE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786F9E10"/>
    <w:multiLevelType w:val="multilevel"/>
    <w:tmpl w:val="786F9E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0"/>
  </w:num>
  <w:num w:numId="2">
    <w:abstractNumId w:val="16"/>
  </w:num>
  <w:num w:numId="3">
    <w:abstractNumId w:val="13"/>
  </w:num>
  <w:num w:numId="4">
    <w:abstractNumId w:val="4"/>
  </w:num>
  <w:num w:numId="5">
    <w:abstractNumId w:val="2"/>
  </w:num>
  <w:num w:numId="6">
    <w:abstractNumId w:val="6"/>
  </w:num>
  <w:num w:numId="7">
    <w:abstractNumId w:val="3"/>
  </w:num>
  <w:num w:numId="8">
    <w:abstractNumId w:val="1"/>
  </w:num>
  <w:num w:numId="9">
    <w:abstractNumId w:val="0"/>
  </w:num>
  <w:num w:numId="10">
    <w:abstractNumId w:val="12"/>
  </w:num>
  <w:num w:numId="11">
    <w:abstractNumId w:val="5"/>
  </w:num>
  <w:num w:numId="12">
    <w:abstractNumId w:val="8"/>
  </w:num>
  <w:num w:numId="13">
    <w:abstractNumId w:val="11"/>
  </w:num>
  <w:num w:numId="14">
    <w:abstractNumId w:val="15"/>
  </w:num>
  <w:num w:numId="15">
    <w:abstractNumId w:val="14"/>
  </w:num>
  <w:num w:numId="16">
    <w:abstractNumId w:val="9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F36201"/>
    <w:rsid w:val="16F36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2026-07-26T04:08:00Z</dcterms:created>
  <dc:creator>格萨</dc:creator>
  <cp:lastModifiedBy>格萨</cp:lastModifiedBy>
  <dcterms:modified xsi:type="dcterms:W3CDTF">2026-07-26T04:13:14Z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1D7C2FE28524493C98B4DED639BF0FA2_11</vt:lpwstr>
  </property>
  <property fmtid="{D5CDD505-2E9C-101B-9397-08002B2CF9AE}" pid="4" name="KSOTemplateDocerSaveRecord">
    <vt:lpwstr>eyJoZGlkIjoiZjhjNzNlZGNiNmI5NzRiNTFhZmViOTE5ZTkxZmFiOWEiLCJ1c2VySWQiOiIxMDc3NTc0NTEyIn0=</vt:lpwstr>
  </property>
</Properties>
</file>