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2CDBD">
      <w:pPr>
        <w:pStyle w:val="2"/>
        <w:keepNext w:val="0"/>
        <w:keepLines w:val="0"/>
        <w:widowControl/>
        <w:suppressLineNumbers w:val="0"/>
        <w:pBdr>
          <w:bottom w:val="single" w:color="E6EDF5" w:sz="18" w:space="0"/>
        </w:pBdr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  <w:t>仍存在细节缺失的内容</w:t>
      </w:r>
    </w:p>
    <w:p w14:paraId="39E3FF31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地面服务与延误赔偿的量化模型仍不够具体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5EDA473B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12BB33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第13.6节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"地面服务与延误赔偿计算模型"目前内容为：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"- 自营地服：固定成本+变动成本； - 第三方地服按架次收费； - 延误赔偿直接从当月运营收入扣除，大面积延误导致单季利润归零。"</w:t>
      </w:r>
    </w:p>
    <w:p w14:paraId="7FB81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缺失内容：</w:t>
      </w:r>
    </w:p>
    <w:p w14:paraId="74C374D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自营地服的固定成本和变动成本的具体数值或计算公式</w:t>
      </w:r>
    </w:p>
    <w:p w14:paraId="40D949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第三方地服的"按架次收费"的具体单价</w:t>
      </w:r>
    </w:p>
    <w:p w14:paraId="6E9707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大面积延误触发"单季利润归零"的具体阈值（延误率多少？延误时长多少？）</w:t>
      </w:r>
    </w:p>
    <w:p w14:paraId="3DDE0A77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27F565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在13.6节中增加量化参数：</w:t>
      </w:r>
    </w:p>
    <w:tbl>
      <w:tblPr>
        <w:tblW w:w="11136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74"/>
        <w:gridCol w:w="3371"/>
        <w:gridCol w:w="4291"/>
      </w:tblGrid>
      <w:tr w14:paraId="5ADD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219AA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29B5E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7CA0F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A053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7CE1F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自营地服-固定成本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6801C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500万/年/枢纽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7061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含设备折旧、管理费</w:t>
            </w:r>
          </w:p>
        </w:tc>
      </w:tr>
      <w:tr w14:paraId="478A9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0808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自营地服-变动成本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5184A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3000元/架次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F56F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含人力、消耗品</w:t>
            </w:r>
          </w:p>
        </w:tc>
      </w:tr>
      <w:tr w14:paraId="3B3B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FE16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第三方地服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919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5000元/架次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6B0E0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可谈判折扣（85%~95%）</w:t>
            </w:r>
          </w:p>
        </w:tc>
      </w:tr>
      <w:tr w14:paraId="22BF7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100F3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延误赔偿触发阈值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8315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单日延误率 &gt; 15%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1E8E2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超过该值触发赔偿机制</w:t>
            </w:r>
          </w:p>
        </w:tc>
      </w:tr>
      <w:tr w14:paraId="6F30E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6F1BF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单季利润归零阈值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8EFD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季度延误率 &gt; 30%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4523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该季度净利润直接归零</w:t>
            </w:r>
          </w:p>
        </w:tc>
      </w:tr>
    </w:tbl>
    <w:p w14:paraId="2F4A0F1A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货运业务的量化数据仍缺失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5DD52A6C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39B44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第14.6节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"货运业务独立核算模型"仅有两句话：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"- 腹舱货运为边际收益（收入-装卸成本）； - 纯货机为独立成本中心（含折旧、操作费、保险等）。"</w:t>
      </w:r>
    </w:p>
    <w:p w14:paraId="32BCE9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缺失内容：</w:t>
      </w:r>
    </w:p>
    <w:p w14:paraId="21E793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腹舱货运的装卸成本具体数值</w:t>
      </w:r>
    </w:p>
    <w:p w14:paraId="78A179E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纯货机的完整成本模型（燃油、机组、起降、航路费等）</w:t>
      </w:r>
    </w:p>
    <w:p w14:paraId="7E2597D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货运KPI的具体目标值</w:t>
      </w:r>
    </w:p>
    <w:p w14:paraId="0826C10B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6D5641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在14.6节中增加：</w:t>
      </w:r>
    </w:p>
    <w:tbl>
      <w:tblPr>
        <w:tblW w:w="11136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22"/>
        <w:gridCol w:w="3484"/>
        <w:gridCol w:w="4430"/>
      </w:tblGrid>
      <w:tr w14:paraId="305F4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3B534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3FE56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7BC6A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4E60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2158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腹舱货运装卸成本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30230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1.5元/公斤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3E0AC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按货物重量计</w:t>
            </w:r>
          </w:p>
        </w:tc>
      </w:tr>
      <w:tr w14:paraId="7016D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10B6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腹舱货运收入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15F0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8~15元/公斤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C739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受市场供需影响</w:t>
            </w:r>
          </w:p>
        </w:tc>
      </w:tr>
      <w:tr w14:paraId="617FA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C4AE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货机日利用率目标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73593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≥ 12小时/天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5F997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与客机日利用率分开考核</w:t>
            </w:r>
          </w:p>
        </w:tc>
      </w:tr>
      <w:tr w14:paraId="68D15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349D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货运吨公里收入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9E9F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nsolas" w:hAnsi="Consolas" w:eastAsia="Consolas" w:cs="Consolas"/>
                <w:color w:val="1A3A5C"/>
              </w:rPr>
            </w:pPr>
            <w:r>
              <w:rPr>
                <w:rFonts w:hint="default" w:ascii="Consolas" w:hAnsi="Consolas" w:eastAsia="Consolas" w:cs="Consolas"/>
                <w:color w:val="1A3A5C"/>
                <w:kern w:val="0"/>
                <w:sz w:val="24"/>
                <w:szCs w:val="24"/>
                <w:lang w:val="en-US" w:eastAsia="zh-CN" w:bidi="ar"/>
              </w:rPr>
              <w:t>1.2~2.5元/吨公里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3C068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4A6A85"/>
              </w:rPr>
            </w:pPr>
            <w:r>
              <w:rPr>
                <w:rFonts w:ascii="宋体" w:hAnsi="宋体" w:eastAsia="宋体" w:cs="宋体"/>
                <w:color w:val="4A6A85"/>
                <w:kern w:val="0"/>
                <w:sz w:val="24"/>
                <w:szCs w:val="24"/>
                <w:lang w:val="en-US" w:eastAsia="zh-CN" w:bidi="ar"/>
              </w:rPr>
              <w:t>衡量货运定价能力</w:t>
            </w:r>
          </w:p>
        </w:tc>
      </w:tr>
    </w:tbl>
    <w:p w14:paraId="6E05174B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"航空公司性质"与"运营模式"的关系未定义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4F81B9BF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73379F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第3.2.1节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"公司基本资料"中，"公司性质"下拉选项包含：国有/民营/合资/低成本/包机。</w:t>
      </w:r>
    </w:p>
    <w:p w14:paraId="699C86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同一表格中，"初始运营模式"选项包含：全服务/低成本/支线/货运。</w:t>
      </w:r>
    </w:p>
    <w:p w14:paraId="7B39BC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问题：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"国有低成本"是否允许？"民营支线"是否允许？"合资货运"是否允许？哪些组合是合法的，哪些是互斥的？例如，一个"国有"性质的航司是否可以同时选择"低成本"模式（现实中确实有国有LCC，如春秋航空虽然不是国有但中联航是国有低成本）？</w:t>
      </w:r>
    </w:p>
    <w:p w14:paraId="2E6BB4FE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63FF63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在第3.2.1节中增加一个"性质与模式兼容矩阵"表格，明确哪些组合是合法的、哪些是互斥的、哪些是推荐的。</w:t>
      </w:r>
    </w:p>
    <w:p w14:paraId="576D7474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示例兼容逻辑：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国有 + 全服务（推荐）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国有 + 低成本（允许，需特殊政策说明）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民营 + 低成本（推荐）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民营 + 支线（允许）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合资 + 货运（允许）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single" w:color="E2E8F0" w:sz="4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shd w:val="clear" w:fill="FFFFFF"/>
          <w:lang w:val="en-US" w:eastAsia="zh-CN" w:bidi="ar"/>
        </w:rPr>
        <w:t>· 包机 + 全服务（互斥，包机不适用全服务模式）</w:t>
      </w:r>
    </w:p>
    <w:p w14:paraId="5EF95A3C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管理团队化学反应M-01~M-07的触发条件未定义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606BF1B9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02C2E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第12.3节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列出了7种管理团队化学反应及其效果，但未定义触发条件。</w:t>
      </w:r>
    </w:p>
    <w:p w14:paraId="431DFA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董事会的化学反应（B-01~B-23）触发条件是"特定角色同时在位"，但管理团队的化学反应触发条件是什么？是所有参与部门的负责人同时在职？还是仅需这些部门存在（无论负责人是谁）？</w:t>
      </w:r>
    </w:p>
    <w:p w14:paraId="60716B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如果是"特定负责人同时在位"，那么每个化学反应应该绑定特定的负责人（如M-01需要OPS-03+ MNT-05 + SAF-07），但目前没有这样的绑定。</w:t>
      </w:r>
    </w:p>
    <w:p w14:paraId="18C1A4AE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5C0542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在第12.3节增加触发条件说明：</w:t>
      </w:r>
    </w:p>
    <w:p w14:paraId="335DCFE6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>"管理团队化学反应的触发条件为：所有参与部门的负责人均已在位超过3个月，且各负责人的派系总和不完全集中于同一派系（避免单一派系垄断）。当条件满足时，化学反应在下一季度初自动激活。"</w:t>
      </w:r>
    </w:p>
    <w:p w14:paraId="056D5F60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航权争夺战的具体竞争算法缺失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467CA342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3F726B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第19.3节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提到"航权争夺战"：玩家提交方案与AI竞争综合评分。但综合评分的计算方式未定义。</w:t>
      </w:r>
    </w:p>
    <w:p w14:paraId="3A6054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缺失内容：</w:t>
      </w:r>
    </w:p>
    <w:p w14:paraId="178FFEF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综合评分由哪些维度构成？</w:t>
      </w:r>
    </w:p>
    <w:p w14:paraId="1C5A74B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各维度的权重是多少？</w:t>
      </w:r>
    </w:p>
    <w:p w14:paraId="25A7D40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AI的评分如何计算（是固定的还是动态的）？</w:t>
      </w:r>
    </w:p>
    <w:p w14:paraId="370BA335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119916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在第19.3节"航权争夺战"中增加评分公式：</w:t>
      </w:r>
    </w:p>
    <w:p w14:paraId="5F0E000D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>航权争夺评分 = 0.4 × 方案经济性 + 0.25 × 本地投资承诺 + 0.2 × 政府关系点数 + 0.15 × 战略契合度</w:t>
      </w:r>
    </w:p>
    <w:p w14:paraId="319C20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方案经济性 = 预估航线利润 / 要求总投入</w:t>
      </w:r>
    </w:p>
    <w:p w14:paraId="7904EA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本地投资承诺 = 承诺在当地的投资金额 / 行业基准</w:t>
      </w:r>
    </w:p>
    <w:p w14:paraId="413D85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政府关系点数来自STG部门</w:t>
      </w:r>
    </w:p>
    <w:p w14:paraId="03CFB1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战略契合度 = 新航线与公司战略优先级的一致性评分</w:t>
      </w:r>
    </w:p>
    <w:p w14:paraId="2C161676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遗产评分中"累计安全飞行记录"的计算方式缺失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05F31B37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53DEE7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第4.1节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"遗产评分"中，"累计安全飞行记录"占30%权重，描述为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"基于总飞行小时、事故率、安全评级"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，但未给出具体的计算公式。</w:t>
      </w:r>
    </w:p>
    <w:p w14:paraId="1C1D34FF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7D5D4E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累计安全飞行记录（0-100分）计算公式：</w:t>
      </w:r>
    </w:p>
    <w:p w14:paraId="722418CA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>累计安全飞行记录 = 50% × (总飞行小时 / 行业基准小时) + 30% × (1 - 事故率 / 行业平均事故率) + 20% × (安全评级 / 100)</w:t>
      </w:r>
    </w:p>
    <w:p w14:paraId="6F4C822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各项取值为cap在0-100之间（如超过100则按100计）。</w:t>
      </w:r>
    </w:p>
    <w:p w14:paraId="383651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事故率高于行业平均3倍以上时该项归零。</w:t>
      </w:r>
    </w:p>
    <w:p w14:paraId="7B12CA80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节假日"预售窗口"与"旺季策略包"的交互细节缺失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E6B3E"/>
          <w:spacing w:val="4"/>
          <w:kern w:val="0"/>
          <w:sz w:val="27"/>
          <w:szCs w:val="27"/>
          <w:shd w:val="clear" w:fill="E7F0E7"/>
          <w:lang w:val="en-US" w:eastAsia="zh-CN" w:bidi="ar"/>
        </w:rPr>
        <w:t>低优先级</w:t>
      </w:r>
    </w:p>
    <w:p w14:paraId="72A4DAA7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B4E18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第23.2节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提到"预售窗口"和"旺季策略包"的玩法，但未说明：</w:t>
      </w:r>
    </w:p>
    <w:p w14:paraId="31ABB2F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预售窗口的具体操作界面是什么？</w:t>
      </w:r>
    </w:p>
    <w:p w14:paraId="1858137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旺季策略包的预设内容包括哪些维度？</w:t>
      </w:r>
    </w:p>
    <w:p w14:paraId="78A713B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72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· 策略包的执行优先级（当多个策略冲突时如何处理）？</w:t>
      </w:r>
    </w:p>
    <w:p w14:paraId="7C145143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建议补充</w:t>
      </w:r>
    </w:p>
    <w:p w14:paraId="0572D2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旺季策略包预设维度：</w:t>
      </w:r>
    </w:p>
    <w:p w14:paraId="23053B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shd w:val="clear" w:fill="F2F6FC"/>
        </w:rPr>
        <w:t>· 定价策略（早鸟折扣率 / 全价销售比例）</w:t>
      </w:r>
    </w:p>
    <w:p w14:paraId="6428D7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shd w:val="clear" w:fill="F2F6FC"/>
        </w:rPr>
        <w:t>· 运力分配（是否增加临时航班 / 加班）</w:t>
      </w:r>
    </w:p>
    <w:p w14:paraId="5579D8F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shd w:val="clear" w:fill="F2F6FC"/>
        </w:rPr>
        <w:t>· 促销预算（额外营销费用投入）</w:t>
      </w:r>
    </w:p>
    <w:p w14:paraId="64EF49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shd w:val="clear" w:fill="F2F6FC"/>
        </w:rPr>
        <w:t>· 人力调配（是否需要提前招聘兼职）</w:t>
      </w:r>
    </w:p>
    <w:p w14:paraId="21015D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冲突处理规则：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 当两个节日的策略包在时间上重叠时，按"优先级"执行（中国春节 &gt; 圣诞节 &gt; 区域性节日）。玩家可手动调整优先级排序。</w:t>
      </w:r>
    </w:p>
    <w:p w14:paraId="405398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142CA"/>
    <w:multiLevelType w:val="multilevel"/>
    <w:tmpl w:val="8C114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B965C5D"/>
    <w:multiLevelType w:val="multilevel"/>
    <w:tmpl w:val="9B965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C15CC88"/>
    <w:multiLevelType w:val="multilevel"/>
    <w:tmpl w:val="9C15C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09AB081"/>
    <w:multiLevelType w:val="multilevel"/>
    <w:tmpl w:val="C09AB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E15413A"/>
    <w:multiLevelType w:val="multilevel"/>
    <w:tmpl w:val="CE154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1015DB5"/>
    <w:multiLevelType w:val="multilevel"/>
    <w:tmpl w:val="D1015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5C3F6F1"/>
    <w:multiLevelType w:val="multilevel"/>
    <w:tmpl w:val="D5C3F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9EDCF09"/>
    <w:multiLevelType w:val="multilevel"/>
    <w:tmpl w:val="E9EDC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B84C7D2"/>
    <w:multiLevelType w:val="multilevel"/>
    <w:tmpl w:val="FB84C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E79D867"/>
    <w:multiLevelType w:val="multilevel"/>
    <w:tmpl w:val="0E79D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126B2DB"/>
    <w:multiLevelType w:val="multilevel"/>
    <w:tmpl w:val="1126B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F886D1E"/>
    <w:multiLevelType w:val="multilevel"/>
    <w:tmpl w:val="1F886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FB21CAF"/>
    <w:multiLevelType w:val="multilevel"/>
    <w:tmpl w:val="1FB2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2338133"/>
    <w:multiLevelType w:val="multilevel"/>
    <w:tmpl w:val="42338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CCAC7EE"/>
    <w:multiLevelType w:val="multilevel"/>
    <w:tmpl w:val="4CCAC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22D9897"/>
    <w:multiLevelType w:val="multilevel"/>
    <w:tmpl w:val="522D9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B14ABB1"/>
    <w:multiLevelType w:val="multilevel"/>
    <w:tmpl w:val="5B14A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7A4C01EB"/>
    <w:multiLevelType w:val="multilevel"/>
    <w:tmpl w:val="7A4C0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6"/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0"/>
  </w:num>
  <w:num w:numId="7">
    <w:abstractNumId w:val="14"/>
  </w:num>
  <w:num w:numId="8">
    <w:abstractNumId w:val="8"/>
  </w:num>
  <w:num w:numId="9">
    <w:abstractNumId w:val="2"/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5"/>
  </w:num>
  <w:num w:numId="14">
    <w:abstractNumId w:val="0"/>
  </w:num>
  <w:num w:numId="15">
    <w:abstractNumId w:val="9"/>
  </w:num>
  <w:num w:numId="16">
    <w:abstractNumId w:val="13"/>
  </w:num>
  <w:num w:numId="17">
    <w:abstractNumId w:val="16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D22B3"/>
    <w:rsid w:val="665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2026-07-26T12:47:00Z</dcterms:created>
  <dc:creator>格萨</dc:creator>
  <cp:lastModifiedBy>格萨</cp:lastModifiedBy>
  <dcterms:modified xsi:type="dcterms:W3CDTF">2026-07-26T12:48:11Z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9CF360F45A3244ABAFB438790DA9BFB7_11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